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47D5D22D" w:rsidR="0034315C" w:rsidRDefault="00174185" w:rsidP="002A6CE5">
      <w:pPr>
        <w:pStyle w:val="NoSpacing"/>
        <w:spacing w:before="600" w:after="0"/>
        <w:rPr>
          <w:rStyle w:val="eop"/>
          <w:rFonts w:ascii="Raleway ExtraBold" w:hAnsi="Raleway ExtraBold"/>
          <w:b/>
          <w:bCs/>
          <w:caps/>
          <w:color w:val="000000"/>
          <w:sz w:val="40"/>
          <w:szCs w:val="40"/>
          <w:shd w:val="clear" w:color="auto" w:fill="FFFFFF"/>
        </w:rPr>
      </w:pPr>
      <w:r>
        <w:rPr>
          <w:noProof/>
        </w:rPr>
        <w:pict w14:anchorId="2EE0FCA1">
          <v:shapetype id="_x0000_t202" coordsize="21600,21600" o:spt="202" path="m,l,21600r21600,l21600,xe">
            <v:stroke joinstyle="miter"/>
            <v:path gradientshapeok="t" o:connecttype="rect"/>
          </v:shapetype>
          <v:shape id="_x0000_s2051" type="#_x0000_t202" style="position:absolute;margin-left:226.5pt;margin-top:-56.95pt;width:276pt;height:81pt;z-index:25166336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041DBCB5" w14:textId="77777777" w:rsidR="00174185" w:rsidRDefault="00174185" w:rsidP="003C0818">
      <w:pPr>
        <w:pStyle w:val="NoSpacing"/>
        <w:spacing w:before="600" w:line="276" w:lineRule="auto"/>
        <w:rPr>
          <w:rStyle w:val="eop"/>
          <w:rFonts w:ascii="Raleway ExtraBold" w:hAnsi="Raleway ExtraBold"/>
          <w:b/>
          <w:bCs/>
          <w:caps/>
          <w:color w:val="000000"/>
          <w:sz w:val="40"/>
          <w:szCs w:val="40"/>
          <w:shd w:val="clear" w:color="auto" w:fill="FFFFFF"/>
        </w:rPr>
      </w:pPr>
      <w:r w:rsidRPr="00174185">
        <w:rPr>
          <w:rStyle w:val="eop"/>
          <w:rFonts w:ascii="Raleway ExtraBold" w:hAnsi="Raleway ExtraBold"/>
          <w:b/>
          <w:bCs/>
          <w:caps/>
          <w:color w:val="000000"/>
          <w:sz w:val="40"/>
          <w:szCs w:val="40"/>
          <w:shd w:val="clear" w:color="auto" w:fill="FFFFFF"/>
        </w:rPr>
        <w:t>LONG SERVICE LEAVE</w:t>
      </w:r>
    </w:p>
    <w:p w14:paraId="6089B049" w14:textId="64CB9B05" w:rsidR="00174185" w:rsidRDefault="00174185" w:rsidP="00174185">
      <w:pPr>
        <w:pStyle w:val="BodyText1"/>
        <w:spacing w:before="0" w:after="0" w:line="276" w:lineRule="auto"/>
        <w:rPr>
          <w:rFonts w:ascii="Raleway" w:hAnsi="Raleway"/>
          <w:szCs w:val="22"/>
        </w:rPr>
      </w:pPr>
      <w:r w:rsidRPr="00174185">
        <w:rPr>
          <w:rFonts w:ascii="Raleway" w:hAnsi="Raleway"/>
          <w:szCs w:val="22"/>
        </w:rPr>
        <w:t xml:space="preserve">The </w:t>
      </w:r>
      <w:r w:rsidRPr="00174185">
        <w:rPr>
          <w:rFonts w:ascii="Raleway" w:hAnsi="Raleway"/>
          <w:i/>
          <w:szCs w:val="22"/>
        </w:rPr>
        <w:t>Long Service Act 1976</w:t>
      </w:r>
      <w:r w:rsidRPr="00174185">
        <w:rPr>
          <w:rFonts w:ascii="Raleway" w:hAnsi="Raleway"/>
          <w:szCs w:val="22"/>
        </w:rPr>
        <w:t xml:space="preserve"> (the Act) covers employees in the ACT who are not covered by an award or agreement or where an award or agreement does not contain provisions for long service leave. Full-time and part-time employees (including piece-rate workers) are included in this coverage. Casual employees may also be covered. </w:t>
      </w:r>
    </w:p>
    <w:p w14:paraId="7206F551" w14:textId="77777777" w:rsidR="00174185" w:rsidRPr="00174185" w:rsidRDefault="00174185" w:rsidP="00174185">
      <w:pPr>
        <w:pStyle w:val="BodyText1"/>
        <w:spacing w:before="0" w:after="0" w:line="276" w:lineRule="auto"/>
        <w:rPr>
          <w:rFonts w:ascii="Raleway" w:hAnsi="Raleway"/>
          <w:szCs w:val="22"/>
        </w:rPr>
      </w:pPr>
    </w:p>
    <w:p w14:paraId="1D3CC72C" w14:textId="0FFE10DA" w:rsidR="00174185" w:rsidRDefault="00174185" w:rsidP="00174185">
      <w:pPr>
        <w:pStyle w:val="BodyText1"/>
        <w:spacing w:before="0" w:after="0" w:line="276" w:lineRule="auto"/>
        <w:rPr>
          <w:rFonts w:ascii="Raleway" w:hAnsi="Raleway"/>
          <w:szCs w:val="22"/>
        </w:rPr>
      </w:pPr>
      <w:r w:rsidRPr="00174185">
        <w:rPr>
          <w:rFonts w:ascii="Raleway" w:hAnsi="Raleway"/>
          <w:szCs w:val="22"/>
        </w:rPr>
        <w:t xml:space="preserve">Public Sector employees are not covered by this Act. Employees covered by the </w:t>
      </w:r>
      <w:r w:rsidRPr="00174185">
        <w:rPr>
          <w:rFonts w:ascii="Raleway" w:hAnsi="Raleway"/>
          <w:i/>
          <w:szCs w:val="22"/>
        </w:rPr>
        <w:t>Long Service Leave (Portable Schemes) Act 2009</w:t>
      </w:r>
      <w:r w:rsidRPr="00174185">
        <w:rPr>
          <w:rFonts w:ascii="Raleway" w:hAnsi="Raleway"/>
          <w:szCs w:val="22"/>
        </w:rPr>
        <w:t xml:space="preserve">, would not usually be entitled to benefits under this Act. The covered industries under the </w:t>
      </w:r>
      <w:r w:rsidRPr="00174185">
        <w:rPr>
          <w:rFonts w:ascii="Raleway" w:hAnsi="Raleway"/>
          <w:i/>
          <w:szCs w:val="22"/>
        </w:rPr>
        <w:t>Long Service Leave (Portable Schemes) Act 2009</w:t>
      </w:r>
      <w:r w:rsidRPr="00174185">
        <w:rPr>
          <w:rFonts w:ascii="Raleway" w:hAnsi="Raleway"/>
          <w:szCs w:val="22"/>
        </w:rPr>
        <w:t xml:space="preserve"> </w:t>
      </w:r>
      <w:proofErr w:type="gramStart"/>
      <w:r w:rsidRPr="00174185">
        <w:rPr>
          <w:rFonts w:ascii="Raleway" w:hAnsi="Raleway"/>
          <w:szCs w:val="22"/>
        </w:rPr>
        <w:t>includes;</w:t>
      </w:r>
      <w:proofErr w:type="gramEnd"/>
      <w:r w:rsidRPr="00174185">
        <w:rPr>
          <w:rFonts w:ascii="Raleway" w:hAnsi="Raleway"/>
          <w:szCs w:val="22"/>
        </w:rPr>
        <w:t xml:space="preserve"> </w:t>
      </w:r>
    </w:p>
    <w:p w14:paraId="20D92861" w14:textId="77777777" w:rsidR="00174185" w:rsidRPr="00174185" w:rsidRDefault="00174185" w:rsidP="00174185">
      <w:pPr>
        <w:pStyle w:val="BodyText1"/>
        <w:spacing w:before="0" w:after="0" w:line="276" w:lineRule="auto"/>
        <w:rPr>
          <w:rFonts w:ascii="Raleway" w:hAnsi="Raleway"/>
          <w:szCs w:val="22"/>
        </w:rPr>
      </w:pPr>
    </w:p>
    <w:p w14:paraId="3FB1B6FB" w14:textId="1E0201B2" w:rsidR="00174185" w:rsidRPr="00174185" w:rsidRDefault="00174185" w:rsidP="00174185">
      <w:pPr>
        <w:pStyle w:val="BodyText1"/>
        <w:numPr>
          <w:ilvl w:val="0"/>
          <w:numId w:val="34"/>
        </w:numPr>
        <w:spacing w:before="0" w:after="0" w:line="276" w:lineRule="auto"/>
        <w:rPr>
          <w:rFonts w:ascii="Raleway" w:hAnsi="Raleway"/>
          <w:szCs w:val="22"/>
        </w:rPr>
      </w:pPr>
      <w:r w:rsidRPr="00174185">
        <w:rPr>
          <w:rFonts w:ascii="Raleway" w:hAnsi="Raleway"/>
          <w:szCs w:val="22"/>
        </w:rPr>
        <w:t xml:space="preserve">the building and construction industry, </w:t>
      </w:r>
    </w:p>
    <w:p w14:paraId="1FC5866A" w14:textId="4B9E6F75" w:rsidR="00174185" w:rsidRPr="00174185" w:rsidRDefault="00174185" w:rsidP="00174185">
      <w:pPr>
        <w:pStyle w:val="BodyText1"/>
        <w:numPr>
          <w:ilvl w:val="0"/>
          <w:numId w:val="34"/>
        </w:numPr>
        <w:spacing w:before="0" w:after="0" w:line="276" w:lineRule="auto"/>
        <w:rPr>
          <w:rFonts w:ascii="Raleway" w:hAnsi="Raleway"/>
          <w:szCs w:val="22"/>
        </w:rPr>
      </w:pPr>
      <w:r w:rsidRPr="00174185">
        <w:rPr>
          <w:rFonts w:ascii="Raleway" w:hAnsi="Raleway"/>
          <w:szCs w:val="22"/>
        </w:rPr>
        <w:t xml:space="preserve">the contract cleaning industry, </w:t>
      </w:r>
    </w:p>
    <w:p w14:paraId="427FD676" w14:textId="77777777" w:rsidR="00174185" w:rsidRPr="00174185" w:rsidRDefault="00174185" w:rsidP="00174185">
      <w:pPr>
        <w:pStyle w:val="BodyText1"/>
        <w:numPr>
          <w:ilvl w:val="0"/>
          <w:numId w:val="34"/>
        </w:numPr>
        <w:spacing w:before="0" w:after="0" w:line="276" w:lineRule="auto"/>
        <w:rPr>
          <w:rFonts w:ascii="Raleway" w:hAnsi="Raleway" w:cs="Segoe UI"/>
          <w:color w:val="000000"/>
          <w:szCs w:val="22"/>
        </w:rPr>
      </w:pPr>
      <w:r w:rsidRPr="00174185">
        <w:rPr>
          <w:rFonts w:ascii="Raleway" w:hAnsi="Raleway"/>
          <w:szCs w:val="22"/>
        </w:rPr>
        <w:t>the community sector industry, and</w:t>
      </w:r>
    </w:p>
    <w:p w14:paraId="38335288" w14:textId="3A0DE7BB" w:rsidR="003C0818" w:rsidRPr="00174185" w:rsidRDefault="00174185" w:rsidP="00174185">
      <w:pPr>
        <w:pStyle w:val="BodyText1"/>
        <w:numPr>
          <w:ilvl w:val="0"/>
          <w:numId w:val="34"/>
        </w:numPr>
        <w:spacing w:before="0" w:after="0" w:line="276" w:lineRule="auto"/>
        <w:rPr>
          <w:rStyle w:val="normaltextrun"/>
          <w:rFonts w:ascii="Raleway" w:hAnsi="Raleway" w:cs="Segoe UI"/>
          <w:color w:val="000000"/>
          <w:szCs w:val="22"/>
        </w:rPr>
      </w:pPr>
      <w:r w:rsidRPr="00174185">
        <w:rPr>
          <w:rFonts w:ascii="Raleway" w:hAnsi="Raleway"/>
          <w:szCs w:val="22"/>
        </w:rPr>
        <w:t>the security industry</w:t>
      </w:r>
    </w:p>
    <w:p w14:paraId="1316FDB9" w14:textId="77777777" w:rsidR="003C0818" w:rsidRDefault="003C0818" w:rsidP="00174185">
      <w:pPr>
        <w:pStyle w:val="NoSpacing"/>
        <w:spacing w:before="0" w:after="0" w:line="276" w:lineRule="auto"/>
        <w:rPr>
          <w:rStyle w:val="normaltextrun"/>
          <w:rFonts w:ascii="Raleway" w:hAnsi="Raleway" w:cs="Segoe UI"/>
          <w:color w:val="000000"/>
          <w:sz w:val="22"/>
          <w:szCs w:val="22"/>
        </w:rPr>
      </w:pPr>
    </w:p>
    <w:p w14:paraId="1A9CBDDF" w14:textId="61126A4B" w:rsidR="0089360B" w:rsidRDefault="00174185" w:rsidP="003C0818">
      <w:pPr>
        <w:pStyle w:val="NoSpacing"/>
        <w:spacing w:before="600" w:line="276" w:lineRule="auto"/>
        <w:rPr>
          <w:rStyle w:val="normaltextrun"/>
          <w:rFonts w:ascii="Raleway" w:hAnsi="Raleway" w:cs="Segoe UI"/>
          <w:b/>
          <w:bCs/>
          <w:caps/>
          <w:color w:val="00B050"/>
          <w:sz w:val="36"/>
          <w:szCs w:val="36"/>
        </w:rPr>
      </w:pPr>
      <w:r w:rsidRPr="00174185">
        <w:rPr>
          <w:rStyle w:val="normaltextrun"/>
          <w:rFonts w:ascii="Raleway" w:hAnsi="Raleway" w:cs="Segoe UI"/>
          <w:b/>
          <w:bCs/>
          <w:caps/>
          <w:color w:val="00B050"/>
          <w:sz w:val="36"/>
          <w:szCs w:val="36"/>
        </w:rPr>
        <w:t>LONG SERVICE LEAVE ENTITLEMENTS</w:t>
      </w:r>
    </w:p>
    <w:p w14:paraId="3271E752" w14:textId="77777777" w:rsidR="00174185" w:rsidRPr="00174185" w:rsidRDefault="00174185" w:rsidP="00174185">
      <w:pPr>
        <w:pStyle w:val="BodyText1"/>
        <w:spacing w:line="276" w:lineRule="auto"/>
        <w:rPr>
          <w:rFonts w:ascii="Raleway" w:hAnsi="Raleway"/>
          <w:snapToGrid w:val="0"/>
        </w:rPr>
      </w:pPr>
      <w:r w:rsidRPr="00174185">
        <w:rPr>
          <w:rFonts w:ascii="Raleway" w:hAnsi="Raleway"/>
          <w:snapToGrid w:val="0"/>
        </w:rPr>
        <w:t xml:space="preserve">An employee who completes a period of continuous service of at least 7 years is entitled to 6.0667 weeks paid leave. When a public holiday or award holiday falls during long service leave, the period of long service leave is increased by one day for each public or award holiday. </w:t>
      </w:r>
    </w:p>
    <w:p w14:paraId="56C3FFF1" w14:textId="77777777" w:rsidR="00174185" w:rsidRPr="00174185" w:rsidRDefault="00174185" w:rsidP="00174185">
      <w:pPr>
        <w:pStyle w:val="BodyText1"/>
        <w:spacing w:line="276" w:lineRule="auto"/>
        <w:rPr>
          <w:rFonts w:ascii="Raleway" w:hAnsi="Raleway"/>
          <w:snapToGrid w:val="0"/>
        </w:rPr>
      </w:pPr>
      <w:r w:rsidRPr="00174185">
        <w:rPr>
          <w:rFonts w:ascii="Raleway" w:hAnsi="Raleway"/>
          <w:snapToGrid w:val="0"/>
        </w:rPr>
        <w:t xml:space="preserve">For each subsequent year of continuous service, the employee accrues a further 1/5 of a month of long service leave. </w:t>
      </w:r>
    </w:p>
    <w:p w14:paraId="383EA182" w14:textId="77777777" w:rsidR="00174185" w:rsidRPr="00174185" w:rsidRDefault="00174185" w:rsidP="00174185">
      <w:pPr>
        <w:pStyle w:val="BodyText1"/>
        <w:spacing w:line="276" w:lineRule="auto"/>
        <w:rPr>
          <w:rFonts w:ascii="Raleway" w:hAnsi="Raleway"/>
          <w:snapToGrid w:val="0"/>
        </w:rPr>
      </w:pPr>
      <w:r w:rsidRPr="00174185">
        <w:rPr>
          <w:rFonts w:ascii="Raleway" w:hAnsi="Raleway"/>
          <w:snapToGrid w:val="0"/>
        </w:rPr>
        <w:t xml:space="preserve">Continuous service includes: </w:t>
      </w:r>
    </w:p>
    <w:p w14:paraId="55C6D3B7" w14:textId="77777777" w:rsidR="00174185" w:rsidRPr="00174185" w:rsidRDefault="00174185" w:rsidP="00174185">
      <w:pPr>
        <w:pStyle w:val="bullet1"/>
        <w:numPr>
          <w:ilvl w:val="0"/>
          <w:numId w:val="36"/>
        </w:numPr>
        <w:spacing w:line="276" w:lineRule="auto"/>
        <w:ind w:left="426" w:hanging="426"/>
        <w:rPr>
          <w:rFonts w:ascii="Raleway" w:hAnsi="Raleway"/>
          <w:snapToGrid w:val="0"/>
        </w:rPr>
      </w:pPr>
      <w:r w:rsidRPr="00174185">
        <w:rPr>
          <w:rFonts w:ascii="Raleway" w:hAnsi="Raleway"/>
          <w:snapToGrid w:val="0"/>
        </w:rPr>
        <w:t xml:space="preserve">periods of annual leave or long service leave, </w:t>
      </w:r>
    </w:p>
    <w:p w14:paraId="47B4E501" w14:textId="77777777" w:rsidR="00174185" w:rsidRPr="00174185" w:rsidRDefault="00174185" w:rsidP="00174185">
      <w:pPr>
        <w:pStyle w:val="bullet1"/>
        <w:numPr>
          <w:ilvl w:val="0"/>
          <w:numId w:val="36"/>
        </w:numPr>
        <w:spacing w:line="276" w:lineRule="auto"/>
        <w:ind w:left="426" w:hanging="426"/>
        <w:rPr>
          <w:rFonts w:ascii="Raleway" w:hAnsi="Raleway"/>
          <w:snapToGrid w:val="0"/>
        </w:rPr>
      </w:pPr>
      <w:r w:rsidRPr="00174185">
        <w:rPr>
          <w:rFonts w:ascii="Raleway" w:hAnsi="Raleway"/>
          <w:snapToGrid w:val="0"/>
        </w:rPr>
        <w:t xml:space="preserve">leave for up to 2 weeks per year for illness or injury, </w:t>
      </w:r>
    </w:p>
    <w:p w14:paraId="01C222D2" w14:textId="77777777" w:rsidR="00174185" w:rsidRPr="00174185" w:rsidRDefault="00174185" w:rsidP="00174185">
      <w:pPr>
        <w:pStyle w:val="bullet1"/>
        <w:numPr>
          <w:ilvl w:val="0"/>
          <w:numId w:val="36"/>
        </w:numPr>
        <w:spacing w:line="276" w:lineRule="auto"/>
        <w:ind w:left="426" w:hanging="426"/>
        <w:rPr>
          <w:rFonts w:ascii="Raleway" w:hAnsi="Raleway"/>
          <w:snapToGrid w:val="0"/>
        </w:rPr>
      </w:pPr>
      <w:r w:rsidRPr="00174185">
        <w:rPr>
          <w:rFonts w:ascii="Raleway" w:hAnsi="Raleway"/>
          <w:snapToGrid w:val="0"/>
        </w:rPr>
        <w:t xml:space="preserve">a period in which the employee’s service is interrupted or terminated by the employer with the intention of avoiding the granting of long service leave, </w:t>
      </w:r>
    </w:p>
    <w:p w14:paraId="0FBE8265" w14:textId="315A4CD8" w:rsidR="00174185" w:rsidRDefault="00174185" w:rsidP="00174185">
      <w:pPr>
        <w:pStyle w:val="bullet1"/>
        <w:numPr>
          <w:ilvl w:val="0"/>
          <w:numId w:val="36"/>
        </w:numPr>
        <w:spacing w:line="276" w:lineRule="auto"/>
        <w:ind w:left="426" w:hanging="426"/>
        <w:rPr>
          <w:rFonts w:ascii="Raleway" w:hAnsi="Raleway"/>
          <w:snapToGrid w:val="0"/>
        </w:rPr>
      </w:pPr>
      <w:r w:rsidRPr="00174185">
        <w:rPr>
          <w:rFonts w:ascii="Raleway" w:hAnsi="Raleway"/>
          <w:snapToGrid w:val="0"/>
        </w:rPr>
        <w:t xml:space="preserve">the period of apprenticeship of an employee who commences service with an employer within 12 months of completing the apprenticeship or approved training contract with the employer. Please note periods of service outside the ACT may not contribute to your total period of service when calculating an entitlement to long service leave. </w:t>
      </w:r>
    </w:p>
    <w:p w14:paraId="7042CE89" w14:textId="4DFA61D5" w:rsidR="00174185" w:rsidRDefault="00174185" w:rsidP="00174185">
      <w:pPr>
        <w:pStyle w:val="bullet1"/>
        <w:numPr>
          <w:ilvl w:val="0"/>
          <w:numId w:val="0"/>
        </w:numPr>
        <w:spacing w:line="276" w:lineRule="auto"/>
        <w:ind w:left="360" w:hanging="360"/>
        <w:rPr>
          <w:rFonts w:ascii="Raleway" w:hAnsi="Raleway"/>
          <w:snapToGrid w:val="0"/>
        </w:rPr>
      </w:pPr>
    </w:p>
    <w:p w14:paraId="1987F495" w14:textId="77777777" w:rsidR="00174185" w:rsidRPr="00174185" w:rsidRDefault="00174185" w:rsidP="00174185">
      <w:pPr>
        <w:pStyle w:val="bullet1"/>
        <w:numPr>
          <w:ilvl w:val="0"/>
          <w:numId w:val="0"/>
        </w:numPr>
        <w:spacing w:line="276" w:lineRule="auto"/>
        <w:ind w:left="360" w:hanging="360"/>
        <w:rPr>
          <w:rFonts w:ascii="Raleway" w:hAnsi="Raleway"/>
          <w:snapToGrid w:val="0"/>
        </w:rPr>
      </w:pPr>
    </w:p>
    <w:p w14:paraId="738CA096" w14:textId="0FBEC78E" w:rsidR="00174185" w:rsidRDefault="00174185" w:rsidP="00174185">
      <w:pPr>
        <w:pStyle w:val="NoSpacing"/>
        <w:spacing w:before="600" w:line="276" w:lineRule="auto"/>
        <w:rPr>
          <w:rStyle w:val="normaltextrun"/>
          <w:rFonts w:ascii="Raleway" w:hAnsi="Raleway" w:cs="Segoe UI"/>
          <w:b/>
          <w:caps/>
          <w:color w:val="00B050"/>
          <w:sz w:val="36"/>
          <w:szCs w:val="36"/>
        </w:rPr>
      </w:pPr>
      <w:r w:rsidRPr="00174185">
        <w:rPr>
          <w:rStyle w:val="normaltextrun"/>
          <w:rFonts w:ascii="Raleway" w:hAnsi="Raleway" w:cs="Segoe UI"/>
          <w:b/>
          <w:caps/>
          <w:color w:val="00B050"/>
          <w:sz w:val="36"/>
          <w:szCs w:val="36"/>
        </w:rPr>
        <w:lastRenderedPageBreak/>
        <w:t>Granting and Payment of Long Service Leave</w:t>
      </w:r>
    </w:p>
    <w:p w14:paraId="23030B3D" w14:textId="77777777" w:rsidR="00174185" w:rsidRPr="00174185" w:rsidRDefault="00174185" w:rsidP="00174185">
      <w:pPr>
        <w:spacing w:line="276" w:lineRule="auto"/>
        <w:rPr>
          <w:rFonts w:ascii="Raleway" w:hAnsi="Raleway"/>
          <w:sz w:val="22"/>
          <w:szCs w:val="22"/>
        </w:rPr>
      </w:pPr>
      <w:r w:rsidRPr="00174185">
        <w:rPr>
          <w:rFonts w:ascii="Raleway" w:hAnsi="Raleway"/>
          <w:sz w:val="22"/>
          <w:szCs w:val="22"/>
        </w:rPr>
        <w:t xml:space="preserve">The employer shall grant long service leave to the employee as soon as practicable after the leave has accrued at a time agreed between the parties. If an agreement cannot be reached the employer shall give the employee notice in writing that leave must be taken after 60 days from the date of the notice. </w:t>
      </w:r>
    </w:p>
    <w:p w14:paraId="46D2E89E" w14:textId="77777777" w:rsidR="00174185" w:rsidRPr="00174185" w:rsidRDefault="00174185" w:rsidP="00174185">
      <w:pPr>
        <w:spacing w:line="276" w:lineRule="auto"/>
        <w:rPr>
          <w:rFonts w:ascii="Raleway" w:hAnsi="Raleway"/>
          <w:sz w:val="22"/>
          <w:szCs w:val="22"/>
        </w:rPr>
      </w:pPr>
      <w:r w:rsidRPr="00174185">
        <w:rPr>
          <w:rFonts w:ascii="Raleway" w:hAnsi="Raleway"/>
          <w:sz w:val="22"/>
          <w:szCs w:val="22"/>
        </w:rPr>
        <w:t xml:space="preserve">Payment for long service leave is at the rate of the employee’s ordinary remuneration. Ordinary remuneration does not include overtime, penalty rates and allowances paid by virtue of an award or agreement. </w:t>
      </w:r>
    </w:p>
    <w:p w14:paraId="4E072CE7" w14:textId="42468319" w:rsidR="00174185" w:rsidRPr="00174185" w:rsidRDefault="00174185" w:rsidP="00174185">
      <w:pPr>
        <w:spacing w:line="276" w:lineRule="auto"/>
        <w:rPr>
          <w:rFonts w:ascii="Raleway" w:hAnsi="Raleway"/>
          <w:sz w:val="22"/>
          <w:szCs w:val="22"/>
        </w:rPr>
      </w:pPr>
      <w:r w:rsidRPr="00174185">
        <w:rPr>
          <w:rFonts w:ascii="Raleway" w:hAnsi="Raleway"/>
          <w:sz w:val="22"/>
          <w:szCs w:val="22"/>
        </w:rPr>
        <w:t xml:space="preserve">Special conditions apply to an employee who ceases to be full-time and becomes part-time or casual within a period of two years immediately before the date on which he/she becomes entitled to long service leave. In these circumstances adding the previous five </w:t>
      </w:r>
      <w:r w:rsidRPr="00174185">
        <w:rPr>
          <w:rFonts w:ascii="Raleway" w:hAnsi="Raleway"/>
          <w:sz w:val="22"/>
          <w:szCs w:val="22"/>
        </w:rPr>
        <w:t>years’</w:t>
      </w:r>
      <w:r w:rsidRPr="00174185">
        <w:rPr>
          <w:rFonts w:ascii="Raleway" w:hAnsi="Raleway"/>
          <w:sz w:val="22"/>
          <w:szCs w:val="22"/>
        </w:rPr>
        <w:t xml:space="preserve"> salary and dividing the total by five shall attain the employee’s ordinary remuneration. </w:t>
      </w:r>
    </w:p>
    <w:p w14:paraId="045283DF" w14:textId="77777777" w:rsidR="00174185" w:rsidRPr="00174185" w:rsidRDefault="00174185" w:rsidP="00174185">
      <w:pPr>
        <w:spacing w:line="276" w:lineRule="auto"/>
        <w:rPr>
          <w:rFonts w:ascii="Raleway" w:hAnsi="Raleway"/>
          <w:sz w:val="22"/>
          <w:szCs w:val="22"/>
        </w:rPr>
      </w:pPr>
      <w:r w:rsidRPr="00174185">
        <w:rPr>
          <w:rFonts w:ascii="Raleway" w:hAnsi="Raleway"/>
          <w:sz w:val="22"/>
          <w:szCs w:val="22"/>
        </w:rPr>
        <w:t xml:space="preserve">Payment shall be made in advance of the employee going on leave, or if agreed on the normal payday. Payment on termination should be made as soon as possible after termination. </w:t>
      </w:r>
    </w:p>
    <w:p w14:paraId="5D12987E" w14:textId="77777777" w:rsidR="00174185" w:rsidRDefault="00174185" w:rsidP="00174185">
      <w:pPr>
        <w:spacing w:line="276" w:lineRule="auto"/>
        <w:rPr>
          <w:rFonts w:ascii="Raleway" w:hAnsi="Raleway"/>
          <w:sz w:val="22"/>
          <w:szCs w:val="22"/>
        </w:rPr>
      </w:pPr>
      <w:r w:rsidRPr="00174185">
        <w:rPr>
          <w:rFonts w:ascii="Raleway" w:hAnsi="Raleway"/>
          <w:sz w:val="22"/>
          <w:szCs w:val="22"/>
        </w:rPr>
        <w:t xml:space="preserve">An employer commits an offence if an employee becomes entitled to four weeks or more of long service leave and the employer does not grant the leave as soon as practicable having regard to their business unless otherwise agreed between both parties. </w:t>
      </w:r>
    </w:p>
    <w:p w14:paraId="61C0C1AE" w14:textId="2D71000D" w:rsidR="00174185" w:rsidRDefault="00174185" w:rsidP="00174185">
      <w:pPr>
        <w:spacing w:line="276" w:lineRule="auto"/>
        <w:rPr>
          <w:rStyle w:val="normaltextrun"/>
          <w:rFonts w:ascii="Raleway" w:hAnsi="Raleway" w:cs="Segoe UI"/>
          <w:b/>
          <w:caps/>
          <w:color w:val="00B050"/>
          <w:sz w:val="36"/>
          <w:szCs w:val="36"/>
        </w:rPr>
      </w:pPr>
      <w:r w:rsidRPr="00174185">
        <w:rPr>
          <w:rStyle w:val="normaltextrun"/>
          <w:rFonts w:ascii="Raleway" w:hAnsi="Raleway" w:cs="Segoe UI"/>
          <w:b/>
          <w:caps/>
          <w:color w:val="00B050"/>
          <w:sz w:val="36"/>
          <w:szCs w:val="36"/>
        </w:rPr>
        <w:t>Pro-Rata Entitlement</w:t>
      </w:r>
    </w:p>
    <w:p w14:paraId="354DE46D" w14:textId="77777777" w:rsidR="00174185" w:rsidRPr="00174185" w:rsidRDefault="00174185" w:rsidP="00174185">
      <w:pPr>
        <w:rPr>
          <w:rFonts w:ascii="Raleway" w:hAnsi="Raleway"/>
          <w:sz w:val="22"/>
          <w:szCs w:val="22"/>
        </w:rPr>
      </w:pPr>
      <w:r w:rsidRPr="00174185">
        <w:rPr>
          <w:rFonts w:ascii="Raleway" w:hAnsi="Raleway"/>
          <w:sz w:val="22"/>
          <w:szCs w:val="22"/>
        </w:rPr>
        <w:t xml:space="preserve">Where an employee has been employed for at least five years but less than seven years and the employment </w:t>
      </w:r>
      <w:proofErr w:type="gramStart"/>
      <w:r w:rsidRPr="00174185">
        <w:rPr>
          <w:rFonts w:ascii="Raleway" w:hAnsi="Raleway"/>
          <w:sz w:val="22"/>
          <w:szCs w:val="22"/>
        </w:rPr>
        <w:t>is</w:t>
      </w:r>
      <w:proofErr w:type="gramEnd"/>
      <w:r w:rsidRPr="00174185">
        <w:rPr>
          <w:rFonts w:ascii="Raleway" w:hAnsi="Raleway"/>
          <w:sz w:val="22"/>
          <w:szCs w:val="22"/>
        </w:rPr>
        <w:t xml:space="preserve"> terminated: </w:t>
      </w:r>
    </w:p>
    <w:p w14:paraId="08410949" w14:textId="77777777" w:rsidR="00174185" w:rsidRPr="00174185" w:rsidRDefault="00174185" w:rsidP="00174185">
      <w:pPr>
        <w:pStyle w:val="bullet1"/>
        <w:numPr>
          <w:ilvl w:val="0"/>
          <w:numId w:val="36"/>
        </w:numPr>
        <w:rPr>
          <w:rFonts w:ascii="Raleway" w:hAnsi="Raleway"/>
          <w:szCs w:val="22"/>
        </w:rPr>
      </w:pPr>
      <w:r w:rsidRPr="00174185">
        <w:rPr>
          <w:rFonts w:ascii="Raleway" w:hAnsi="Raleway"/>
          <w:szCs w:val="22"/>
        </w:rPr>
        <w:t xml:space="preserve">by the person, because of illness or incapacity or a domestic or other pressing necessity of such a nature to justify the termination, or </w:t>
      </w:r>
    </w:p>
    <w:p w14:paraId="420DE746" w14:textId="77777777" w:rsidR="00174185" w:rsidRPr="00174185" w:rsidRDefault="00174185" w:rsidP="00174185">
      <w:pPr>
        <w:pStyle w:val="bullet1"/>
        <w:numPr>
          <w:ilvl w:val="0"/>
          <w:numId w:val="36"/>
        </w:numPr>
        <w:rPr>
          <w:rFonts w:ascii="Raleway" w:hAnsi="Raleway"/>
          <w:szCs w:val="22"/>
        </w:rPr>
      </w:pPr>
      <w:r w:rsidRPr="00174185">
        <w:rPr>
          <w:rFonts w:ascii="Raleway" w:hAnsi="Raleway"/>
          <w:szCs w:val="22"/>
        </w:rPr>
        <w:t xml:space="preserve">by the person upon or after attaining the minimum retiring age, or </w:t>
      </w:r>
    </w:p>
    <w:p w14:paraId="2A6E3349" w14:textId="77777777" w:rsidR="00174185" w:rsidRPr="00174185" w:rsidRDefault="00174185" w:rsidP="00174185">
      <w:pPr>
        <w:pStyle w:val="bullet1"/>
        <w:numPr>
          <w:ilvl w:val="0"/>
          <w:numId w:val="36"/>
        </w:numPr>
        <w:rPr>
          <w:rFonts w:ascii="Raleway" w:hAnsi="Raleway"/>
          <w:szCs w:val="22"/>
        </w:rPr>
      </w:pPr>
      <w:r w:rsidRPr="00174185">
        <w:rPr>
          <w:rFonts w:ascii="Raleway" w:hAnsi="Raleway"/>
          <w:szCs w:val="22"/>
        </w:rPr>
        <w:t xml:space="preserve">by the death of a person, or </w:t>
      </w:r>
    </w:p>
    <w:p w14:paraId="60B23C9A" w14:textId="77777777" w:rsidR="00174185" w:rsidRPr="00174185" w:rsidRDefault="00174185" w:rsidP="00174185">
      <w:pPr>
        <w:pStyle w:val="bullet1"/>
        <w:numPr>
          <w:ilvl w:val="0"/>
          <w:numId w:val="36"/>
        </w:numPr>
        <w:rPr>
          <w:rFonts w:ascii="Raleway" w:hAnsi="Raleway"/>
          <w:szCs w:val="22"/>
        </w:rPr>
      </w:pPr>
      <w:r w:rsidRPr="00174185">
        <w:rPr>
          <w:rFonts w:ascii="Raleway" w:hAnsi="Raleway"/>
          <w:szCs w:val="22"/>
        </w:rPr>
        <w:t xml:space="preserve">by the employer, for reason(s) other than for the employee’s serious and wilful misconduct. </w:t>
      </w:r>
    </w:p>
    <w:p w14:paraId="4C8A3605" w14:textId="77777777" w:rsidR="00174185" w:rsidRDefault="00174185" w:rsidP="00174185">
      <w:pPr>
        <w:rPr>
          <w:rFonts w:ascii="Raleway" w:hAnsi="Raleway"/>
          <w:sz w:val="22"/>
          <w:szCs w:val="22"/>
        </w:rPr>
      </w:pPr>
      <w:r w:rsidRPr="00174185">
        <w:rPr>
          <w:rFonts w:ascii="Raleway" w:hAnsi="Raleway"/>
          <w:sz w:val="22"/>
          <w:szCs w:val="22"/>
        </w:rPr>
        <w:t>The employee is entitled to a pro rata payment of long service leave for each completed years and months of service.</w:t>
      </w:r>
    </w:p>
    <w:p w14:paraId="14C1FE35" w14:textId="6D47346E" w:rsidR="00174185" w:rsidRDefault="00174185" w:rsidP="00174185">
      <w:pPr>
        <w:rPr>
          <w:rStyle w:val="normaltextrun"/>
          <w:rFonts w:cs="Segoe UI"/>
          <w:b/>
          <w:caps/>
          <w:color w:val="00B050"/>
          <w:sz w:val="36"/>
          <w:szCs w:val="36"/>
        </w:rPr>
      </w:pPr>
      <w:r w:rsidRPr="00174185">
        <w:rPr>
          <w:rStyle w:val="normaltextrun"/>
          <w:rFonts w:cs="Segoe UI"/>
          <w:b/>
          <w:caps/>
          <w:color w:val="00B050"/>
          <w:sz w:val="36"/>
          <w:szCs w:val="36"/>
        </w:rPr>
        <w:t>EMPLOYER RECORDS</w:t>
      </w:r>
    </w:p>
    <w:p w14:paraId="685C5799" w14:textId="77777777" w:rsidR="00174185" w:rsidRPr="00174185" w:rsidRDefault="00174185" w:rsidP="00174185">
      <w:pPr>
        <w:spacing w:line="276" w:lineRule="auto"/>
        <w:rPr>
          <w:rFonts w:ascii="Raleway" w:hAnsi="Raleway"/>
          <w:sz w:val="22"/>
          <w:szCs w:val="22"/>
        </w:rPr>
      </w:pPr>
      <w:r w:rsidRPr="00174185">
        <w:rPr>
          <w:rFonts w:ascii="Raleway" w:hAnsi="Raleway"/>
          <w:sz w:val="22"/>
          <w:szCs w:val="22"/>
        </w:rPr>
        <w:t xml:space="preserve">An employer shall keep the following records for each employee for seven years after the service ends or on the employee’s death. </w:t>
      </w:r>
    </w:p>
    <w:p w14:paraId="3999705C" w14:textId="77777777" w:rsidR="00174185" w:rsidRPr="00174185" w:rsidRDefault="00174185" w:rsidP="00174185">
      <w:pPr>
        <w:pStyle w:val="bullet1"/>
        <w:numPr>
          <w:ilvl w:val="0"/>
          <w:numId w:val="36"/>
        </w:numPr>
        <w:spacing w:line="276" w:lineRule="auto"/>
        <w:rPr>
          <w:rFonts w:ascii="Raleway" w:hAnsi="Raleway"/>
          <w:szCs w:val="22"/>
        </w:rPr>
      </w:pPr>
      <w:r w:rsidRPr="00174185">
        <w:rPr>
          <w:rFonts w:ascii="Raleway" w:hAnsi="Raleway"/>
          <w:szCs w:val="22"/>
        </w:rPr>
        <w:t xml:space="preserve">name, </w:t>
      </w:r>
      <w:proofErr w:type="gramStart"/>
      <w:r w:rsidRPr="00174185">
        <w:rPr>
          <w:rFonts w:ascii="Raleway" w:hAnsi="Raleway"/>
          <w:szCs w:val="22"/>
        </w:rPr>
        <w:t>occupation</w:t>
      </w:r>
      <w:proofErr w:type="gramEnd"/>
      <w:r w:rsidRPr="00174185">
        <w:rPr>
          <w:rFonts w:ascii="Raleway" w:hAnsi="Raleway"/>
          <w:szCs w:val="22"/>
        </w:rPr>
        <w:t xml:space="preserve"> and classification of the employee and whether the employee is full-time, part-time or casual </w:t>
      </w:r>
    </w:p>
    <w:p w14:paraId="4E7842DA" w14:textId="77777777" w:rsidR="00174185" w:rsidRPr="00174185" w:rsidRDefault="00174185" w:rsidP="00174185">
      <w:pPr>
        <w:pStyle w:val="bullet1"/>
        <w:numPr>
          <w:ilvl w:val="0"/>
          <w:numId w:val="36"/>
        </w:numPr>
        <w:spacing w:line="276" w:lineRule="auto"/>
        <w:rPr>
          <w:rFonts w:ascii="Raleway" w:hAnsi="Raleway"/>
          <w:szCs w:val="22"/>
        </w:rPr>
      </w:pPr>
      <w:r w:rsidRPr="00174185">
        <w:rPr>
          <w:rFonts w:ascii="Raleway" w:hAnsi="Raleway"/>
          <w:szCs w:val="22"/>
        </w:rPr>
        <w:t xml:space="preserve">employee’s ordinary remuneration (including the base rate of pay); any loading payable to the employee and the purpose of the loading </w:t>
      </w:r>
    </w:p>
    <w:p w14:paraId="76A97F55" w14:textId="77777777" w:rsidR="00174185" w:rsidRPr="00174185" w:rsidRDefault="00174185" w:rsidP="00174185">
      <w:pPr>
        <w:pStyle w:val="bullet1"/>
        <w:numPr>
          <w:ilvl w:val="0"/>
          <w:numId w:val="36"/>
        </w:numPr>
        <w:spacing w:line="276" w:lineRule="auto"/>
        <w:rPr>
          <w:rFonts w:ascii="Raleway" w:hAnsi="Raleway"/>
          <w:szCs w:val="22"/>
        </w:rPr>
      </w:pPr>
      <w:r w:rsidRPr="00174185">
        <w:rPr>
          <w:rFonts w:ascii="Raleway" w:hAnsi="Raleway"/>
          <w:szCs w:val="22"/>
        </w:rPr>
        <w:t xml:space="preserve">number of hours worked each week by the employee </w:t>
      </w:r>
    </w:p>
    <w:p w14:paraId="5F86CD6C" w14:textId="77777777" w:rsidR="00174185" w:rsidRPr="00174185" w:rsidRDefault="00174185" w:rsidP="00174185">
      <w:pPr>
        <w:pStyle w:val="bullet1"/>
        <w:numPr>
          <w:ilvl w:val="0"/>
          <w:numId w:val="36"/>
        </w:numPr>
        <w:spacing w:line="276" w:lineRule="auto"/>
        <w:rPr>
          <w:rFonts w:ascii="Raleway" w:hAnsi="Raleway"/>
          <w:szCs w:val="22"/>
        </w:rPr>
      </w:pPr>
      <w:r w:rsidRPr="00174185">
        <w:rPr>
          <w:rFonts w:ascii="Raleway" w:hAnsi="Raleway"/>
          <w:szCs w:val="22"/>
        </w:rPr>
        <w:lastRenderedPageBreak/>
        <w:t xml:space="preserve">date on which the employee commenced service </w:t>
      </w:r>
    </w:p>
    <w:p w14:paraId="518397A7" w14:textId="77777777" w:rsidR="00174185" w:rsidRPr="00174185" w:rsidRDefault="00174185" w:rsidP="00174185">
      <w:pPr>
        <w:pStyle w:val="bullet1"/>
        <w:numPr>
          <w:ilvl w:val="0"/>
          <w:numId w:val="36"/>
        </w:numPr>
        <w:spacing w:line="276" w:lineRule="auto"/>
        <w:rPr>
          <w:rFonts w:ascii="Raleway" w:hAnsi="Raleway"/>
          <w:szCs w:val="22"/>
        </w:rPr>
      </w:pPr>
      <w:r w:rsidRPr="00174185">
        <w:rPr>
          <w:rFonts w:ascii="Raleway" w:hAnsi="Raleway"/>
          <w:szCs w:val="22"/>
        </w:rPr>
        <w:t xml:space="preserve">period of any long service leave taken by the employee, the employee’s entitlement to long service </w:t>
      </w:r>
      <w:proofErr w:type="gramStart"/>
      <w:r w:rsidRPr="00174185">
        <w:rPr>
          <w:rFonts w:ascii="Raleway" w:hAnsi="Raleway"/>
          <w:szCs w:val="22"/>
        </w:rPr>
        <w:t>leave</w:t>
      </w:r>
      <w:proofErr w:type="gramEnd"/>
      <w:r w:rsidRPr="00174185">
        <w:rPr>
          <w:rFonts w:ascii="Raleway" w:hAnsi="Raleway"/>
          <w:szCs w:val="22"/>
        </w:rPr>
        <w:t xml:space="preserve"> and long service leave granted, or payment in lieu of leave made to the employee </w:t>
      </w:r>
    </w:p>
    <w:p w14:paraId="405DBF54" w14:textId="77777777" w:rsidR="00174185" w:rsidRPr="00174185" w:rsidRDefault="00174185" w:rsidP="00174185">
      <w:pPr>
        <w:pStyle w:val="bullet1"/>
        <w:numPr>
          <w:ilvl w:val="0"/>
          <w:numId w:val="36"/>
        </w:numPr>
        <w:spacing w:line="276" w:lineRule="auto"/>
        <w:rPr>
          <w:rFonts w:ascii="Raleway" w:hAnsi="Raleway"/>
          <w:szCs w:val="22"/>
        </w:rPr>
      </w:pPr>
      <w:r w:rsidRPr="00174185">
        <w:rPr>
          <w:rFonts w:ascii="Raleway" w:hAnsi="Raleway"/>
          <w:szCs w:val="22"/>
        </w:rPr>
        <w:t xml:space="preserve">date and </w:t>
      </w:r>
      <w:proofErr w:type="gramStart"/>
      <w:r w:rsidRPr="00174185">
        <w:rPr>
          <w:rFonts w:ascii="Raleway" w:hAnsi="Raleway"/>
          <w:szCs w:val="22"/>
        </w:rPr>
        <w:t>manner in which</w:t>
      </w:r>
      <w:proofErr w:type="gramEnd"/>
      <w:r w:rsidRPr="00174185">
        <w:rPr>
          <w:rFonts w:ascii="Raleway" w:hAnsi="Raleway"/>
          <w:szCs w:val="22"/>
        </w:rPr>
        <w:t xml:space="preserve"> an employee ceased to be employed </w:t>
      </w:r>
    </w:p>
    <w:p w14:paraId="6781D54D" w14:textId="77777777" w:rsidR="00174185" w:rsidRPr="00174185" w:rsidRDefault="00174185" w:rsidP="00174185">
      <w:pPr>
        <w:pStyle w:val="bullet1"/>
        <w:numPr>
          <w:ilvl w:val="0"/>
          <w:numId w:val="36"/>
        </w:numPr>
        <w:spacing w:line="276" w:lineRule="auto"/>
        <w:rPr>
          <w:rFonts w:ascii="Raleway" w:hAnsi="Raleway"/>
          <w:szCs w:val="22"/>
        </w:rPr>
      </w:pPr>
      <w:r w:rsidRPr="00174185">
        <w:rPr>
          <w:rFonts w:ascii="Raleway" w:hAnsi="Raleway"/>
          <w:szCs w:val="22"/>
        </w:rPr>
        <w:t xml:space="preserve">employee’s date of birth, and </w:t>
      </w:r>
    </w:p>
    <w:p w14:paraId="7AE0D85D" w14:textId="758BBD1D" w:rsidR="00174185" w:rsidRDefault="00174185" w:rsidP="00174185">
      <w:pPr>
        <w:pStyle w:val="bullet1"/>
        <w:numPr>
          <w:ilvl w:val="0"/>
          <w:numId w:val="36"/>
        </w:numPr>
        <w:spacing w:line="276" w:lineRule="auto"/>
        <w:rPr>
          <w:rFonts w:ascii="Raleway" w:hAnsi="Raleway"/>
          <w:szCs w:val="22"/>
        </w:rPr>
      </w:pPr>
      <w:r w:rsidRPr="00174185">
        <w:rPr>
          <w:rFonts w:ascii="Raleway" w:hAnsi="Raleway"/>
          <w:szCs w:val="22"/>
        </w:rPr>
        <w:t>number of hours worked as overtime by the employee each day and when the employee commenced and ceased work, and the name of each award or agreement under which the employee has entitlements.</w:t>
      </w:r>
    </w:p>
    <w:p w14:paraId="15031290" w14:textId="77777777" w:rsidR="00174185" w:rsidRPr="00174185" w:rsidRDefault="00174185" w:rsidP="00174185">
      <w:pPr>
        <w:rPr>
          <w:rStyle w:val="normaltextrun"/>
          <w:rFonts w:cs="Segoe UI"/>
          <w:b/>
          <w:caps/>
          <w:color w:val="00B050"/>
          <w:sz w:val="36"/>
          <w:szCs w:val="36"/>
        </w:rPr>
      </w:pPr>
      <w:r w:rsidRPr="00174185">
        <w:rPr>
          <w:rStyle w:val="normaltextrun"/>
          <w:rFonts w:cs="Segoe UI"/>
          <w:b/>
          <w:caps/>
          <w:color w:val="00B050"/>
          <w:sz w:val="36"/>
          <w:szCs w:val="36"/>
        </w:rPr>
        <w:t>Transmission of Ownership of a Business</w:t>
      </w:r>
    </w:p>
    <w:p w14:paraId="31EBCC78" w14:textId="77777777" w:rsidR="00174185" w:rsidRPr="00174185" w:rsidRDefault="00174185" w:rsidP="00174185">
      <w:pPr>
        <w:spacing w:line="276" w:lineRule="auto"/>
        <w:rPr>
          <w:rFonts w:ascii="Raleway" w:hAnsi="Raleway"/>
          <w:color w:val="auto"/>
          <w:sz w:val="22"/>
          <w:szCs w:val="22"/>
        </w:rPr>
      </w:pPr>
      <w:r w:rsidRPr="00174185">
        <w:rPr>
          <w:rFonts w:ascii="Raleway" w:hAnsi="Raleway"/>
          <w:sz w:val="22"/>
          <w:szCs w:val="22"/>
        </w:rPr>
        <w:t>Where there is a transfer or change of ownership of a business, and the employee continues employment in the business, the period of service of that employee is deemed to be continuous, and the new employer inherits the liability.</w:t>
      </w:r>
    </w:p>
    <w:p w14:paraId="3E0FF8BD" w14:textId="77777777" w:rsidR="00174185" w:rsidRPr="00174185" w:rsidRDefault="00174185" w:rsidP="00174185">
      <w:pPr>
        <w:rPr>
          <w:rStyle w:val="normaltextrun"/>
          <w:rFonts w:cs="Segoe UI"/>
          <w:b/>
          <w:caps/>
          <w:color w:val="00B050"/>
          <w:sz w:val="36"/>
          <w:szCs w:val="36"/>
        </w:rPr>
      </w:pPr>
      <w:r w:rsidRPr="00174185">
        <w:rPr>
          <w:rStyle w:val="normaltextrun"/>
          <w:rFonts w:cs="Segoe UI"/>
          <w:b/>
          <w:caps/>
          <w:color w:val="00B050"/>
          <w:sz w:val="36"/>
          <w:szCs w:val="36"/>
        </w:rPr>
        <w:t>Authorised Officers</w:t>
      </w:r>
    </w:p>
    <w:p w14:paraId="05C64464" w14:textId="77777777" w:rsidR="00174185" w:rsidRPr="00174185" w:rsidRDefault="00174185" w:rsidP="00174185">
      <w:pPr>
        <w:spacing w:line="276" w:lineRule="auto"/>
        <w:rPr>
          <w:rFonts w:ascii="Raleway" w:hAnsi="Raleway"/>
          <w:color w:val="auto"/>
          <w:sz w:val="22"/>
          <w:szCs w:val="22"/>
        </w:rPr>
      </w:pPr>
      <w:r w:rsidRPr="00174185">
        <w:rPr>
          <w:rFonts w:ascii="Raleway" w:hAnsi="Raleway"/>
          <w:sz w:val="22"/>
          <w:szCs w:val="22"/>
        </w:rPr>
        <w:t xml:space="preserve">Authorised Officers are empowered under the Act to inspect employer records and to investigate complaints. The Authorised Officer may require an employer to comply with the requirements of the Act. </w:t>
      </w:r>
    </w:p>
    <w:p w14:paraId="223A6455" w14:textId="77777777" w:rsidR="00174185" w:rsidRPr="00174185" w:rsidRDefault="00174185" w:rsidP="00174185">
      <w:pPr>
        <w:spacing w:line="276" w:lineRule="auto"/>
        <w:rPr>
          <w:rFonts w:ascii="Raleway" w:hAnsi="Raleway"/>
          <w:sz w:val="22"/>
          <w:szCs w:val="22"/>
        </w:rPr>
      </w:pPr>
      <w:r w:rsidRPr="00174185">
        <w:rPr>
          <w:rFonts w:ascii="Raleway" w:hAnsi="Raleway"/>
          <w:sz w:val="22"/>
          <w:szCs w:val="22"/>
        </w:rPr>
        <w:t>The Act allows an employer to apply to the Registrar of Long Service Leave to review any decisions made by an Authorised Officer.</w:t>
      </w:r>
    </w:p>
    <w:p w14:paraId="3527C69A" w14:textId="77777777" w:rsidR="00174185" w:rsidRPr="00174185" w:rsidRDefault="00174185" w:rsidP="00174185">
      <w:pPr>
        <w:rPr>
          <w:rStyle w:val="normaltextrun"/>
          <w:rFonts w:cs="Segoe UI"/>
          <w:b/>
          <w:caps/>
          <w:color w:val="00B050"/>
          <w:sz w:val="36"/>
          <w:szCs w:val="36"/>
        </w:rPr>
      </w:pPr>
      <w:r w:rsidRPr="00174185">
        <w:rPr>
          <w:rStyle w:val="normaltextrun"/>
          <w:rFonts w:cs="Segoe UI"/>
          <w:b/>
          <w:caps/>
          <w:color w:val="00B050"/>
          <w:sz w:val="36"/>
          <w:szCs w:val="36"/>
        </w:rPr>
        <w:t>Further Information</w:t>
      </w:r>
    </w:p>
    <w:p w14:paraId="51FAE4DA" w14:textId="77777777" w:rsidR="00174185" w:rsidRPr="00174185" w:rsidRDefault="00174185" w:rsidP="00174185">
      <w:pPr>
        <w:spacing w:line="276" w:lineRule="auto"/>
        <w:rPr>
          <w:rFonts w:ascii="Raleway" w:hAnsi="Raleway"/>
          <w:color w:val="auto"/>
          <w:sz w:val="22"/>
          <w:szCs w:val="22"/>
        </w:rPr>
      </w:pPr>
      <w:r w:rsidRPr="00174185">
        <w:rPr>
          <w:rFonts w:ascii="Raleway" w:hAnsi="Raleway"/>
          <w:sz w:val="22"/>
          <w:szCs w:val="22"/>
        </w:rPr>
        <w:t>Further information may be obtained from our website, www.act.gov.au/accesscbr or by contacting our office on 02 6207 3000.</w:t>
      </w:r>
    </w:p>
    <w:p w14:paraId="198F5C82" w14:textId="77777777" w:rsidR="00174185" w:rsidRPr="00174185" w:rsidRDefault="00174185" w:rsidP="00174185">
      <w:pPr>
        <w:pStyle w:val="bullet1"/>
        <w:numPr>
          <w:ilvl w:val="0"/>
          <w:numId w:val="0"/>
        </w:numPr>
        <w:spacing w:line="276" w:lineRule="auto"/>
        <w:ind w:left="360" w:hanging="360"/>
        <w:rPr>
          <w:rFonts w:ascii="Raleway" w:hAnsi="Raleway"/>
          <w:szCs w:val="22"/>
        </w:rPr>
      </w:pPr>
    </w:p>
    <w:p w14:paraId="5FB35F43" w14:textId="77777777" w:rsidR="00174185" w:rsidRPr="00174185" w:rsidRDefault="00174185" w:rsidP="00174185">
      <w:pPr>
        <w:rPr>
          <w:rStyle w:val="normaltextrun"/>
          <w:rFonts w:ascii="Raleway" w:hAnsi="Raleway"/>
          <w:sz w:val="22"/>
          <w:szCs w:val="22"/>
        </w:rPr>
      </w:pPr>
    </w:p>
    <w:p w14:paraId="631BCA3D" w14:textId="77777777" w:rsidR="00174185" w:rsidRPr="00174185" w:rsidRDefault="00174185" w:rsidP="00174185">
      <w:pPr>
        <w:spacing w:line="276" w:lineRule="auto"/>
        <w:rPr>
          <w:rStyle w:val="normaltextrun"/>
          <w:rFonts w:ascii="Raleway" w:hAnsi="Raleway" w:cs="Segoe UI"/>
          <w:b/>
          <w:caps/>
          <w:color w:val="00B050"/>
          <w:sz w:val="36"/>
          <w:szCs w:val="36"/>
        </w:rPr>
      </w:pPr>
    </w:p>
    <w:p w14:paraId="7B6676E9" w14:textId="77777777" w:rsidR="00174185" w:rsidRDefault="00174185" w:rsidP="00174185">
      <w:pPr>
        <w:spacing w:line="276" w:lineRule="auto"/>
        <w:rPr>
          <w:rFonts w:ascii="Raleway" w:hAnsi="Raleway"/>
          <w:sz w:val="22"/>
          <w:szCs w:val="22"/>
        </w:rPr>
      </w:pPr>
    </w:p>
    <w:p w14:paraId="2399A4A9" w14:textId="77777777" w:rsidR="00174185" w:rsidRPr="00174185" w:rsidRDefault="00174185" w:rsidP="00174185">
      <w:pPr>
        <w:spacing w:line="276" w:lineRule="auto"/>
        <w:rPr>
          <w:rFonts w:ascii="Raleway" w:hAnsi="Raleway"/>
          <w:sz w:val="22"/>
          <w:szCs w:val="22"/>
        </w:rPr>
      </w:pPr>
    </w:p>
    <w:p w14:paraId="24FA5ABE" w14:textId="77777777" w:rsidR="00174185" w:rsidRPr="00174185" w:rsidRDefault="00174185" w:rsidP="00174185">
      <w:pPr>
        <w:pStyle w:val="NoSpacing"/>
        <w:spacing w:before="600" w:line="276" w:lineRule="auto"/>
        <w:rPr>
          <w:rStyle w:val="normaltextrun"/>
          <w:rFonts w:ascii="Raleway" w:hAnsi="Raleway" w:cs="Segoe UI"/>
          <w:b/>
          <w:bCs/>
          <w:caps/>
          <w:color w:val="00B050"/>
          <w:sz w:val="36"/>
          <w:szCs w:val="36"/>
        </w:rPr>
      </w:pPr>
    </w:p>
    <w:p w14:paraId="2060AB79" w14:textId="6733347F" w:rsidR="003C0818" w:rsidRPr="003C0818" w:rsidRDefault="003C0818" w:rsidP="003C0818">
      <w:pPr>
        <w:rPr>
          <w:rFonts w:ascii="Raleway" w:hAnsi="Raleway"/>
          <w:sz w:val="22"/>
          <w:szCs w:val="22"/>
        </w:rPr>
      </w:pPr>
    </w:p>
    <w:sectPr w:rsidR="003C0818" w:rsidRPr="003C0818" w:rsidSect="006827F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altName w:val="Raleway ExtraBold"/>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DCD3" w14:textId="77777777" w:rsidR="00C158C7" w:rsidRDefault="00C15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67277A8F"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C3C8D">
      <w:t>Worjsfdfhdhfjkdh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6C50" w14:textId="77777777" w:rsidR="00C158C7" w:rsidRDefault="00C15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03BF8786"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174185">
      <w:rPr>
        <w:noProof/>
      </w:rPr>
      <w:pict w14:anchorId="2C7CF8AF">
        <v:rect id="Rectangle 22" o:spid="_x0000_s1029"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c5efc3" stroked="f" strokeweight="1pt">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49884510"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174185">
      <w:rPr>
        <w:noProof/>
      </w:rPr>
      <w:pict w14:anchorId="2C7CF8AF">
        <v:rect id="_x0000_s1032" alt="&quot;&quot;" style="position:absolute;margin-left:-1.6pt;margin-top:.75pt;width:595.3pt;height:22.7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5efc3" stroked="f" strokeweight="1pt">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654"/>
    <w:multiLevelType w:val="multilevel"/>
    <w:tmpl w:val="3DA2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76209D"/>
    <w:multiLevelType w:val="hybridMultilevel"/>
    <w:tmpl w:val="F49C9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2939"/>
    <w:multiLevelType w:val="multilevel"/>
    <w:tmpl w:val="64B4A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F10C9"/>
    <w:multiLevelType w:val="multilevel"/>
    <w:tmpl w:val="8892CC6E"/>
    <w:numStyleLink w:val="FigureNumbers"/>
  </w:abstractNum>
  <w:abstractNum w:abstractNumId="7"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B535ED"/>
    <w:multiLevelType w:val="hybridMultilevel"/>
    <w:tmpl w:val="13D67D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CE60CC"/>
    <w:multiLevelType w:val="multilevel"/>
    <w:tmpl w:val="C3C8640A"/>
    <w:numStyleLink w:val="DefaultBullet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C82D83"/>
    <w:multiLevelType w:val="multilevel"/>
    <w:tmpl w:val="7FF8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D45E9"/>
    <w:multiLevelType w:val="hybridMultilevel"/>
    <w:tmpl w:val="6EB227CC"/>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E4B7F3E"/>
    <w:multiLevelType w:val="hybridMultilevel"/>
    <w:tmpl w:val="987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D3456"/>
    <w:multiLevelType w:val="hybridMultilevel"/>
    <w:tmpl w:val="057E032A"/>
    <w:lvl w:ilvl="0" w:tplc="CA70D4C8">
      <w:start w:val="1"/>
      <w:numFmt w:val="bullet"/>
      <w:lvlText w:val=""/>
      <w:lvlJc w:val="left"/>
      <w:pPr>
        <w:ind w:left="720" w:hanging="360"/>
      </w:pPr>
      <w:rPr>
        <w:rFonts w:ascii="Symbol" w:hAnsi="Symbol" w:hint="default"/>
        <w:color w:val="auto"/>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3C63648"/>
    <w:multiLevelType w:val="hybridMultilevel"/>
    <w:tmpl w:val="6458F0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071D14"/>
    <w:multiLevelType w:val="hybridMultilevel"/>
    <w:tmpl w:val="4D4E262A"/>
    <w:lvl w:ilvl="0" w:tplc="9054577A">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EE7F0D"/>
    <w:multiLevelType w:val="multilevel"/>
    <w:tmpl w:val="8BB2C2A4"/>
    <w:numStyleLink w:val="TableNumbers"/>
  </w:abstractNum>
  <w:abstractNum w:abstractNumId="1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84098A"/>
    <w:multiLevelType w:val="multilevel"/>
    <w:tmpl w:val="5D48E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0B4AA0"/>
    <w:multiLevelType w:val="multilevel"/>
    <w:tmpl w:val="394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B030C5"/>
    <w:multiLevelType w:val="multilevel"/>
    <w:tmpl w:val="46EE73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EC2912"/>
    <w:multiLevelType w:val="multilevel"/>
    <w:tmpl w:val="D4B272E4"/>
    <w:numStyleLink w:val="List1Numbered"/>
  </w:abstractNum>
  <w:abstractNum w:abstractNumId="27"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3A1A8908"/>
    <w:numStyleLink w:val="AppendixNumbers"/>
  </w:abstractNum>
  <w:num w:numId="1">
    <w:abstractNumId w:val="1"/>
  </w:num>
  <w:num w:numId="2">
    <w:abstractNumId w:val="30"/>
  </w:num>
  <w:num w:numId="3">
    <w:abstractNumId w:val="19"/>
  </w:num>
  <w:num w:numId="4">
    <w:abstractNumId w:val="29"/>
  </w:num>
  <w:num w:numId="5">
    <w:abstractNumId w:val="15"/>
  </w:num>
  <w:num w:numId="6">
    <w:abstractNumId w:val="5"/>
  </w:num>
  <w:num w:numId="7">
    <w:abstractNumId w:val="4"/>
  </w:num>
  <w:num w:numId="8">
    <w:abstractNumId w:val="20"/>
  </w:num>
  <w:num w:numId="9">
    <w:abstractNumId w:val="10"/>
  </w:num>
  <w:num w:numId="10">
    <w:abstractNumId w:val="7"/>
  </w:num>
  <w:num w:numId="11">
    <w:abstractNumId w:val="28"/>
  </w:num>
  <w:num w:numId="12">
    <w:abstractNumId w:val="9"/>
  </w:num>
  <w:num w:numId="13">
    <w:abstractNumId w:val="26"/>
  </w:num>
  <w:num w:numId="14">
    <w:abstractNumId w:val="6"/>
  </w:num>
  <w:num w:numId="15">
    <w:abstractNumId w:val="18"/>
  </w:num>
  <w:num w:numId="16">
    <w:abstractNumId w:val="12"/>
  </w:num>
  <w:num w:numId="17">
    <w:abstractNumId w:val="2"/>
  </w:num>
  <w:num w:numId="18">
    <w:abstractNumId w:val="23"/>
  </w:num>
  <w:num w:numId="19">
    <w:abstractNumId w:val="3"/>
  </w:num>
  <w:num w:numId="20">
    <w:abstractNumId w:val="11"/>
  </w:num>
  <w:num w:numId="21">
    <w:abstractNumId w:val="0"/>
  </w:num>
  <w:num w:numId="22">
    <w:abstractNumId w:val="21"/>
  </w:num>
  <w:num w:numId="23">
    <w:abstractNumId w:val="24"/>
  </w:num>
  <w:num w:numId="24">
    <w:abstractNumId w:val="13"/>
  </w:num>
  <w:num w:numId="25">
    <w:abstractNumId w:val="8"/>
  </w:num>
  <w:num w:numId="26">
    <w:abstractNumId w:val="27"/>
  </w:num>
  <w:num w:numId="27">
    <w:abstractNumId w:val="22"/>
  </w:num>
  <w:num w:numId="28">
    <w:abstractNumId w:val="27"/>
  </w:num>
  <w:num w:numId="29">
    <w:abstractNumId w:val="27"/>
  </w:num>
  <w:num w:numId="30">
    <w:abstractNumId w:val="27"/>
  </w:num>
  <w:num w:numId="31">
    <w:abstractNumId w:val="27"/>
  </w:num>
  <w:num w:numId="32">
    <w:abstractNumId w:val="25"/>
  </w:num>
  <w:num w:numId="33">
    <w:abstractNumId w:val="14"/>
  </w:num>
  <w:num w:numId="34">
    <w:abstractNumId w:val="16"/>
  </w:num>
  <w:num w:numId="35">
    <w:abstractNumId w:val="17"/>
  </w:num>
  <w:num w:numId="36">
    <w:abstractNumId w:val="27"/>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3">
      <o:colormru v:ext="edit" colors="#c5efc3"/>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581"/>
    <w:rsid w:val="000323BF"/>
    <w:rsid w:val="00035164"/>
    <w:rsid w:val="00047A6D"/>
    <w:rsid w:val="0005694C"/>
    <w:rsid w:val="00064B61"/>
    <w:rsid w:val="00074315"/>
    <w:rsid w:val="00080615"/>
    <w:rsid w:val="00093872"/>
    <w:rsid w:val="000B6787"/>
    <w:rsid w:val="000C252F"/>
    <w:rsid w:val="000D6562"/>
    <w:rsid w:val="000F13A7"/>
    <w:rsid w:val="0015581D"/>
    <w:rsid w:val="00174185"/>
    <w:rsid w:val="001D1503"/>
    <w:rsid w:val="001F60A5"/>
    <w:rsid w:val="00224F79"/>
    <w:rsid w:val="002573ED"/>
    <w:rsid w:val="00262872"/>
    <w:rsid w:val="002804D3"/>
    <w:rsid w:val="00285318"/>
    <w:rsid w:val="00292B39"/>
    <w:rsid w:val="0029384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0818"/>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674"/>
    <w:rsid w:val="00740D61"/>
    <w:rsid w:val="00761DF2"/>
    <w:rsid w:val="0076765C"/>
    <w:rsid w:val="007A42D2"/>
    <w:rsid w:val="007B097E"/>
    <w:rsid w:val="00884576"/>
    <w:rsid w:val="0089360B"/>
    <w:rsid w:val="008B189B"/>
    <w:rsid w:val="008E21DE"/>
    <w:rsid w:val="008F3D9E"/>
    <w:rsid w:val="00925B3C"/>
    <w:rsid w:val="0095206B"/>
    <w:rsid w:val="00971C95"/>
    <w:rsid w:val="009834AF"/>
    <w:rsid w:val="00987C19"/>
    <w:rsid w:val="009963F0"/>
    <w:rsid w:val="009A76CA"/>
    <w:rsid w:val="009F200E"/>
    <w:rsid w:val="009F64C2"/>
    <w:rsid w:val="00A07E4A"/>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97914"/>
    <w:rsid w:val="00DA24F0"/>
    <w:rsid w:val="00DC55BF"/>
    <w:rsid w:val="00DD27E3"/>
    <w:rsid w:val="00DF74BA"/>
    <w:rsid w:val="00E06B80"/>
    <w:rsid w:val="00E207F9"/>
    <w:rsid w:val="00E23C82"/>
    <w:rsid w:val="00E64DE2"/>
    <w:rsid w:val="00ED323D"/>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2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semiHidden/>
    <w:unhideWhenUsed/>
    <w:rsid w:val="005A3A58"/>
  </w:style>
  <w:style w:type="character" w:customStyle="1" w:styleId="BodyTextChar0">
    <w:name w:val="Body Text Char"/>
    <w:basedOn w:val="DefaultParagraphFont"/>
    <w:link w:val="BodyText"/>
    <w:uiPriority w:val="99"/>
    <w:semiHidden/>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696">
      <w:bodyDiv w:val="1"/>
      <w:marLeft w:val="0"/>
      <w:marRight w:val="0"/>
      <w:marTop w:val="0"/>
      <w:marBottom w:val="0"/>
      <w:divBdr>
        <w:top w:val="none" w:sz="0" w:space="0" w:color="auto"/>
        <w:left w:val="none" w:sz="0" w:space="0" w:color="auto"/>
        <w:bottom w:val="none" w:sz="0" w:space="0" w:color="auto"/>
        <w:right w:val="none" w:sz="0" w:space="0" w:color="auto"/>
      </w:divBdr>
    </w:div>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262693239">
      <w:bodyDiv w:val="1"/>
      <w:marLeft w:val="0"/>
      <w:marRight w:val="0"/>
      <w:marTop w:val="0"/>
      <w:marBottom w:val="0"/>
      <w:divBdr>
        <w:top w:val="none" w:sz="0" w:space="0" w:color="auto"/>
        <w:left w:val="none" w:sz="0" w:space="0" w:color="auto"/>
        <w:bottom w:val="none" w:sz="0" w:space="0" w:color="auto"/>
        <w:right w:val="none" w:sz="0" w:space="0" w:color="auto"/>
      </w:divBdr>
    </w:div>
    <w:div w:id="381709821">
      <w:bodyDiv w:val="1"/>
      <w:marLeft w:val="0"/>
      <w:marRight w:val="0"/>
      <w:marTop w:val="0"/>
      <w:marBottom w:val="0"/>
      <w:divBdr>
        <w:top w:val="none" w:sz="0" w:space="0" w:color="auto"/>
        <w:left w:val="none" w:sz="0" w:space="0" w:color="auto"/>
        <w:bottom w:val="none" w:sz="0" w:space="0" w:color="auto"/>
        <w:right w:val="none" w:sz="0" w:space="0" w:color="auto"/>
      </w:divBdr>
    </w:div>
    <w:div w:id="429617700">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19709834">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591622720">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51968278">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087462595">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 w:id="1675066167">
      <w:bodyDiv w:val="1"/>
      <w:marLeft w:val="0"/>
      <w:marRight w:val="0"/>
      <w:marTop w:val="0"/>
      <w:marBottom w:val="0"/>
      <w:divBdr>
        <w:top w:val="none" w:sz="0" w:space="0" w:color="auto"/>
        <w:left w:val="none" w:sz="0" w:space="0" w:color="auto"/>
        <w:bottom w:val="none" w:sz="0" w:space="0" w:color="auto"/>
        <w:right w:val="none" w:sz="0" w:space="0" w:color="auto"/>
      </w:divBdr>
    </w:div>
    <w:div w:id="1775513330">
      <w:bodyDiv w:val="1"/>
      <w:marLeft w:val="0"/>
      <w:marRight w:val="0"/>
      <w:marTop w:val="0"/>
      <w:marBottom w:val="0"/>
      <w:divBdr>
        <w:top w:val="none" w:sz="0" w:space="0" w:color="auto"/>
        <w:left w:val="none" w:sz="0" w:space="0" w:color="auto"/>
        <w:bottom w:val="none" w:sz="0" w:space="0" w:color="auto"/>
        <w:right w:val="none" w:sz="0" w:space="0" w:color="auto"/>
      </w:divBdr>
    </w:div>
    <w:div w:id="1912614760">
      <w:bodyDiv w:val="1"/>
      <w:marLeft w:val="0"/>
      <w:marRight w:val="0"/>
      <w:marTop w:val="0"/>
      <w:marBottom w:val="0"/>
      <w:divBdr>
        <w:top w:val="none" w:sz="0" w:space="0" w:color="auto"/>
        <w:left w:val="none" w:sz="0" w:space="0" w:color="auto"/>
        <w:bottom w:val="none" w:sz="0" w:space="0" w:color="auto"/>
        <w:right w:val="none" w:sz="0" w:space="0" w:color="auto"/>
      </w:divBdr>
    </w:div>
    <w:div w:id="19252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3.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D8228-E6AB-48BE-B1B8-FF803FD2F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298</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24</cp:revision>
  <cp:lastPrinted>2022-06-08T06:22:00Z</cp:lastPrinted>
  <dcterms:created xsi:type="dcterms:W3CDTF">2022-04-21T10:38:00Z</dcterms:created>
  <dcterms:modified xsi:type="dcterms:W3CDTF">2022-07-05T04:31:00Z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