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8C923" w14:textId="77777777" w:rsidR="00591D51" w:rsidRDefault="00BA3E04" w:rsidP="00D05E23">
      <w:pPr>
        <w:pStyle w:val="Heading1"/>
        <w:spacing w:after="160"/>
      </w:pPr>
      <w:r w:rsidRPr="004650FD">
        <w:t>Strategy</w:t>
      </w:r>
      <w:r w:rsidR="00A96C7A" w:rsidRPr="004650FD">
        <w:t xml:space="preserve"> </w:t>
      </w:r>
      <w:bookmarkStart w:id="0" w:name="_Hlk96526669"/>
      <w:r w:rsidR="00A96C7A" w:rsidRPr="004650FD">
        <w:t xml:space="preserve">to prevent </w:t>
      </w:r>
    </w:p>
    <w:p w14:paraId="6110DEC4" w14:textId="77777777" w:rsidR="00591D51" w:rsidRDefault="00591D51" w:rsidP="00D05E23">
      <w:pPr>
        <w:pStyle w:val="Heading1"/>
        <w:spacing w:after="160"/>
      </w:pPr>
      <w:r>
        <w:t>work-related</w:t>
      </w:r>
    </w:p>
    <w:p w14:paraId="6B499153" w14:textId="5C2DB8A1" w:rsidR="00AF0899" w:rsidRPr="004650FD" w:rsidRDefault="00A96C7A" w:rsidP="00D05E23">
      <w:pPr>
        <w:pStyle w:val="Heading1"/>
        <w:spacing w:after="160"/>
      </w:pPr>
      <w:r w:rsidRPr="004650FD">
        <w:t xml:space="preserve">Musculoskeletal Disorders </w:t>
      </w:r>
      <w:r w:rsidR="00EF7AB7" w:rsidRPr="004650FD">
        <w:br/>
      </w:r>
      <w:r w:rsidR="00622C12" w:rsidRPr="004650FD">
        <w:t>202</w:t>
      </w:r>
      <w:r w:rsidRPr="004650FD">
        <w:t>2</w:t>
      </w:r>
      <w:r w:rsidR="00622C12" w:rsidRPr="004650FD">
        <w:t>-202</w:t>
      </w:r>
      <w:r w:rsidR="00EF7AB7" w:rsidRPr="004650FD">
        <w:t>4</w:t>
      </w:r>
      <w:bookmarkEnd w:id="0"/>
    </w:p>
    <w:p w14:paraId="00590468" w14:textId="4EC69A11" w:rsidR="00AF0899" w:rsidRPr="004650FD" w:rsidRDefault="00AF0899" w:rsidP="00D05E23">
      <w:pPr>
        <w:pStyle w:val="Subtitle"/>
        <w:spacing w:after="160"/>
      </w:pPr>
    </w:p>
    <w:p w14:paraId="720AC8F1" w14:textId="77777777" w:rsidR="006A67C0" w:rsidRPr="004650FD" w:rsidRDefault="006A67C0" w:rsidP="00D05E23">
      <w:pPr>
        <w:spacing w:after="160"/>
      </w:pPr>
    </w:p>
    <w:p w14:paraId="22CBCA7A" w14:textId="77777777" w:rsidR="006A67C0" w:rsidRPr="004650FD" w:rsidRDefault="006A67C0" w:rsidP="00D05E23">
      <w:pPr>
        <w:spacing w:after="160"/>
        <w:sectPr w:rsidR="006A67C0" w:rsidRPr="004650FD" w:rsidSect="006A67C0">
          <w:headerReference w:type="default" r:id="rId8"/>
          <w:footerReference w:type="default" r:id="rId9"/>
          <w:headerReference w:type="first" r:id="rId10"/>
          <w:footerReference w:type="first" r:id="rId11"/>
          <w:pgSz w:w="11906" w:h="16838" w:code="9"/>
          <w:pgMar w:top="11453" w:right="680" w:bottom="680" w:left="6407" w:header="454" w:footer="454" w:gutter="0"/>
          <w:cols w:space="708"/>
          <w:titlePg/>
          <w:docGrid w:linePitch="360"/>
        </w:sectPr>
      </w:pPr>
    </w:p>
    <w:p w14:paraId="3DD6BE43" w14:textId="2FF0A131" w:rsidR="00AF0899" w:rsidRPr="004650FD" w:rsidRDefault="00DC0226" w:rsidP="00D05E23">
      <w:pPr>
        <w:pStyle w:val="Heading2"/>
        <w:spacing w:after="160"/>
      </w:pPr>
      <w:r w:rsidRPr="004650FD">
        <w:lastRenderedPageBreak/>
        <w:t>BACKGROUND AND RATIONALE</w:t>
      </w:r>
    </w:p>
    <w:p w14:paraId="3EAB58D2" w14:textId="3A3A6176" w:rsidR="00622C12" w:rsidRPr="00066384" w:rsidRDefault="00622C12" w:rsidP="00D05E23">
      <w:pPr>
        <w:spacing w:after="160"/>
      </w:pPr>
      <w:r w:rsidRPr="00066384">
        <w:t>WorkSafe ACT</w:t>
      </w:r>
      <w:r w:rsidR="00BA3E04" w:rsidRPr="00066384">
        <w:t>’s functions</w:t>
      </w:r>
      <w:r w:rsidRPr="00066384">
        <w:t xml:space="preserve"> are set out in the </w:t>
      </w:r>
      <w:r w:rsidRPr="00066384">
        <w:rPr>
          <w:i/>
          <w:iCs/>
        </w:rPr>
        <w:t xml:space="preserve">Work Health and Safety Act 2011 </w:t>
      </w:r>
      <w:r w:rsidRPr="00066384">
        <w:t>(WHS Act</w:t>
      </w:r>
      <w:r w:rsidR="002307B2" w:rsidRPr="00066384">
        <w:t xml:space="preserve">), </w:t>
      </w:r>
      <w:r w:rsidRPr="00066384">
        <w:t>and include:</w:t>
      </w:r>
    </w:p>
    <w:p w14:paraId="14B1E1DE" w14:textId="6A52110B" w:rsidR="006D463E" w:rsidRPr="00066384" w:rsidRDefault="00EF7AB7" w:rsidP="00D05E23">
      <w:pPr>
        <w:pStyle w:val="ListParagraph"/>
        <w:numPr>
          <w:ilvl w:val="0"/>
          <w:numId w:val="16"/>
        </w:numPr>
      </w:pPr>
      <w:r w:rsidRPr="00066384">
        <w:t>p</w:t>
      </w:r>
      <w:r w:rsidR="006D463E" w:rsidRPr="00066384">
        <w:t xml:space="preserve">roviding advice and information on </w:t>
      </w:r>
      <w:r w:rsidR="00DF39DB" w:rsidRPr="00066384">
        <w:t xml:space="preserve">work health and safety (WHS) </w:t>
      </w:r>
      <w:r w:rsidR="006D463E" w:rsidRPr="00066384">
        <w:t xml:space="preserve">to duty-holders and the </w:t>
      </w:r>
      <w:r w:rsidR="00DF39DB" w:rsidRPr="00066384">
        <w:t xml:space="preserve">ACT </w:t>
      </w:r>
      <w:r w:rsidR="006D463E" w:rsidRPr="00066384">
        <w:t>community</w:t>
      </w:r>
    </w:p>
    <w:p w14:paraId="5C701459" w14:textId="084B8381" w:rsidR="006D463E" w:rsidRPr="00066384" w:rsidRDefault="00EF7AB7" w:rsidP="00D05E23">
      <w:pPr>
        <w:pStyle w:val="ListParagraph"/>
        <w:numPr>
          <w:ilvl w:val="0"/>
          <w:numId w:val="16"/>
        </w:numPr>
      </w:pPr>
      <w:r w:rsidRPr="00066384">
        <w:t>p</w:t>
      </w:r>
      <w:r w:rsidR="006D463E" w:rsidRPr="00066384">
        <w:t>romoting and supporting education and training on matters relating to WHS</w:t>
      </w:r>
      <w:r w:rsidRPr="00066384">
        <w:t>, and</w:t>
      </w:r>
    </w:p>
    <w:p w14:paraId="6CBE435E" w14:textId="38942B35" w:rsidR="006D463E" w:rsidRPr="00066384" w:rsidRDefault="00EF7AB7" w:rsidP="00D05E23">
      <w:pPr>
        <w:pStyle w:val="ListParagraph"/>
        <w:numPr>
          <w:ilvl w:val="0"/>
          <w:numId w:val="16"/>
        </w:numPr>
      </w:pPr>
      <w:r w:rsidRPr="00066384">
        <w:t>f</w:t>
      </w:r>
      <w:r w:rsidR="00CE6A12" w:rsidRPr="00066384">
        <w:t>ostering</w:t>
      </w:r>
      <w:r w:rsidR="006D463E" w:rsidRPr="00066384">
        <w:t xml:space="preserve"> a cooperative</w:t>
      </w:r>
      <w:r w:rsidR="00CE6A12" w:rsidRPr="00066384">
        <w:t xml:space="preserve"> and </w:t>
      </w:r>
      <w:r w:rsidR="006D463E" w:rsidRPr="00066384">
        <w:t xml:space="preserve">consultative relationship between duty-holders and the persons to whom they owe duties and their representatives in relation to </w:t>
      </w:r>
      <w:r w:rsidR="00CE6A12" w:rsidRPr="00066384">
        <w:t>WHS</w:t>
      </w:r>
      <w:r w:rsidR="006D463E" w:rsidRPr="00066384">
        <w:t xml:space="preserve"> matters</w:t>
      </w:r>
      <w:r w:rsidR="00CE6A12" w:rsidRPr="00066384">
        <w:t>.</w:t>
      </w:r>
    </w:p>
    <w:p w14:paraId="27FC6A19" w14:textId="2F5AF4D1" w:rsidR="002B0416" w:rsidRPr="00066384" w:rsidRDefault="00122A14" w:rsidP="00D05E23">
      <w:pPr>
        <w:spacing w:after="160"/>
      </w:pPr>
      <w:r w:rsidRPr="00066384">
        <w:t xml:space="preserve">Section 19 of the WHS Act provides that a person conducting a business or undertaking </w:t>
      </w:r>
      <w:r w:rsidR="008F60CD">
        <w:t xml:space="preserve">(PCBU) </w:t>
      </w:r>
      <w:r w:rsidRPr="00066384">
        <w:t xml:space="preserve">must ensure, so far as is reasonably practicable, the health and safety of workers. </w:t>
      </w:r>
      <w:r w:rsidR="00591D51">
        <w:t>This includes a range of hazards and risks including preventing musculoskeletal disorders caused by work.</w:t>
      </w:r>
    </w:p>
    <w:p w14:paraId="0F3255AD" w14:textId="57A8F5B4" w:rsidR="00DC6DB6" w:rsidRPr="00DC6DB6" w:rsidRDefault="00DC6DB6" w:rsidP="00D05E23">
      <w:pPr>
        <w:spacing w:after="160"/>
        <w:rPr>
          <w:b/>
          <w:bCs/>
        </w:rPr>
      </w:pPr>
      <w:r w:rsidRPr="00DC6DB6">
        <w:rPr>
          <w:b/>
          <w:bCs/>
        </w:rPr>
        <w:t>What are musculoskeletal disorders?</w:t>
      </w:r>
    </w:p>
    <w:p w14:paraId="0D99B9FC" w14:textId="6572A24E" w:rsidR="00665C7C" w:rsidRPr="00066384" w:rsidRDefault="00665C7C" w:rsidP="00D05E23">
      <w:pPr>
        <w:spacing w:after="160"/>
      </w:pPr>
      <w:r w:rsidRPr="00066384">
        <w:t>Musculoskeletal disorders (MSDs) include a wide range of inflammatory and degenerative conditions affecting the muscles, tendons, ligaments, joints, peripheral nerves and supporting blood vessels</w:t>
      </w:r>
      <w:r w:rsidR="00AD1204" w:rsidRPr="00066384">
        <w:t>.</w:t>
      </w:r>
      <w:r w:rsidRPr="00066384">
        <w:rPr>
          <w:rStyle w:val="FootnoteReference"/>
          <w:rFonts w:cs="Arial"/>
        </w:rPr>
        <w:footnoteReference w:id="1"/>
      </w:r>
      <w:r w:rsidRPr="00066384">
        <w:t xml:space="preserve"> </w:t>
      </w:r>
    </w:p>
    <w:p w14:paraId="0131BC20" w14:textId="2BB00FD1" w:rsidR="00535BEC" w:rsidRPr="00066384" w:rsidRDefault="005425ED" w:rsidP="00D05E23">
      <w:pPr>
        <w:spacing w:after="160"/>
      </w:pPr>
      <w:r w:rsidRPr="00066384">
        <w:t xml:space="preserve">In Safe Work Australia’s National Dataset for Compensation-Based Statistics, MSDs are </w:t>
      </w:r>
      <w:r w:rsidR="00535BEC" w:rsidRPr="00066384">
        <w:t>categori</w:t>
      </w:r>
      <w:r w:rsidR="00591D51">
        <w:t>s</w:t>
      </w:r>
      <w:r w:rsidR="00535BEC" w:rsidRPr="00066384">
        <w:t xml:space="preserve">ed into </w:t>
      </w:r>
      <w:r w:rsidR="00DC6DB6">
        <w:t>t</w:t>
      </w:r>
      <w:r w:rsidR="00535BEC" w:rsidRPr="00066384">
        <w:t xml:space="preserve">raumatic joint/ligament and muscle/tendon injuries (MSD injuries) and </w:t>
      </w:r>
      <w:r w:rsidR="00DC6DB6">
        <w:t>m</w:t>
      </w:r>
      <w:r w:rsidR="00535BEC" w:rsidRPr="00066384">
        <w:t xml:space="preserve">usculoskeletal and connective tissue diseases (MSD diseases). </w:t>
      </w:r>
    </w:p>
    <w:p w14:paraId="67D39279" w14:textId="4D8F6C47" w:rsidR="00535BEC" w:rsidRPr="00066384" w:rsidRDefault="00535BEC" w:rsidP="00D05E23">
      <w:pPr>
        <w:spacing w:after="160"/>
      </w:pPr>
      <w:r w:rsidRPr="00066384">
        <w:t>MSD injuries include:</w:t>
      </w:r>
    </w:p>
    <w:p w14:paraId="04E605DB" w14:textId="65682EF0" w:rsidR="00535BEC" w:rsidRPr="00066384" w:rsidRDefault="00535BEC" w:rsidP="00535BEC">
      <w:pPr>
        <w:pStyle w:val="ListParagraph"/>
        <w:numPr>
          <w:ilvl w:val="0"/>
          <w:numId w:val="46"/>
        </w:numPr>
      </w:pPr>
      <w:r w:rsidRPr="00066384">
        <w:t>trauma to joints and ligaments (</w:t>
      </w:r>
      <w:proofErr w:type="gramStart"/>
      <w:r w:rsidRPr="00066384">
        <w:t>e.g.</w:t>
      </w:r>
      <w:proofErr w:type="gramEnd"/>
      <w:r w:rsidRPr="00066384">
        <w:t xml:space="preserve"> sprains, </w:t>
      </w:r>
      <w:r w:rsidR="00AA6399" w:rsidRPr="00066384">
        <w:t>tears,</w:t>
      </w:r>
      <w:r w:rsidRPr="00066384">
        <w:t xml:space="preserve"> and dislocation)</w:t>
      </w:r>
    </w:p>
    <w:p w14:paraId="1EB50A92" w14:textId="4B365D23" w:rsidR="00535BEC" w:rsidRPr="00066384" w:rsidRDefault="00535BEC" w:rsidP="00535BEC">
      <w:pPr>
        <w:pStyle w:val="ListParagraph"/>
        <w:numPr>
          <w:ilvl w:val="0"/>
          <w:numId w:val="46"/>
        </w:numPr>
      </w:pPr>
      <w:r w:rsidRPr="00066384">
        <w:t>trauma to muscles and tendons (</w:t>
      </w:r>
      <w:proofErr w:type="gramStart"/>
      <w:r w:rsidRPr="00066384">
        <w:t>e.g.</w:t>
      </w:r>
      <w:proofErr w:type="gramEnd"/>
      <w:r w:rsidRPr="00066384">
        <w:t xml:space="preserve"> strains and tears), and </w:t>
      </w:r>
    </w:p>
    <w:p w14:paraId="00D64631" w14:textId="241FC32E" w:rsidR="00535BEC" w:rsidRPr="00066384" w:rsidRDefault="00535BEC" w:rsidP="00D05E23">
      <w:pPr>
        <w:pStyle w:val="ListParagraph"/>
        <w:numPr>
          <w:ilvl w:val="0"/>
          <w:numId w:val="46"/>
        </w:numPr>
      </w:pPr>
      <w:r w:rsidRPr="00066384">
        <w:t>soft tissue disorders due to trauma or unknown mechanisms.</w:t>
      </w:r>
    </w:p>
    <w:p w14:paraId="7F1A6865" w14:textId="1C5B9BC5" w:rsidR="00535BEC" w:rsidRPr="00066384" w:rsidRDefault="00535BEC" w:rsidP="00D05E23">
      <w:pPr>
        <w:spacing w:after="160"/>
      </w:pPr>
      <w:r w:rsidRPr="00066384">
        <w:t>MSD disease</w:t>
      </w:r>
      <w:r w:rsidR="00591D51">
        <w:t>s</w:t>
      </w:r>
      <w:r w:rsidRPr="00066384">
        <w:t xml:space="preserve"> include: </w:t>
      </w:r>
    </w:p>
    <w:p w14:paraId="350A52ED" w14:textId="19F016E9" w:rsidR="00535BEC" w:rsidRPr="00066384" w:rsidRDefault="00535BEC" w:rsidP="00535BEC">
      <w:pPr>
        <w:pStyle w:val="ListParagraph"/>
        <w:numPr>
          <w:ilvl w:val="0"/>
          <w:numId w:val="43"/>
        </w:numPr>
      </w:pPr>
      <w:r w:rsidRPr="00066384">
        <w:t>joint diseases (arthropathies) and other articular cartilage diseases (</w:t>
      </w:r>
      <w:proofErr w:type="gramStart"/>
      <w:r w:rsidRPr="00066384">
        <w:t>e.g.</w:t>
      </w:r>
      <w:proofErr w:type="gramEnd"/>
      <w:r w:rsidRPr="00066384">
        <w:t xml:space="preserve"> inflammatory or infectious arthritis, acquired musculoskeletal deformities)</w:t>
      </w:r>
    </w:p>
    <w:p w14:paraId="1A1B4089" w14:textId="0C4C703D" w:rsidR="00535BEC" w:rsidRPr="00066384" w:rsidRDefault="00535BEC" w:rsidP="00535BEC">
      <w:pPr>
        <w:pStyle w:val="ListParagraph"/>
        <w:numPr>
          <w:ilvl w:val="0"/>
          <w:numId w:val="43"/>
        </w:numPr>
      </w:pPr>
      <w:r w:rsidRPr="00066384">
        <w:t xml:space="preserve">spinal vertebrae and intervertebral disc diseases </w:t>
      </w:r>
      <w:r w:rsidR="008F60CD">
        <w:t>and</w:t>
      </w:r>
      <w:r w:rsidRPr="00066384">
        <w:t xml:space="preserve"> </w:t>
      </w:r>
      <w:proofErr w:type="spellStart"/>
      <w:r w:rsidRPr="00066384">
        <w:t>dorsopathies</w:t>
      </w:r>
      <w:proofErr w:type="spellEnd"/>
      <w:r w:rsidRPr="00066384">
        <w:t xml:space="preserve"> (</w:t>
      </w:r>
      <w:proofErr w:type="gramStart"/>
      <w:r w:rsidRPr="00066384">
        <w:t>e.g.</w:t>
      </w:r>
      <w:proofErr w:type="gramEnd"/>
      <w:r w:rsidRPr="00066384">
        <w:t xml:space="preserve"> back pain, sciatica, neck pain, disc degeneration)</w:t>
      </w:r>
    </w:p>
    <w:p w14:paraId="4586CF6B" w14:textId="32C0C517" w:rsidR="00535BEC" w:rsidRPr="00066384" w:rsidRDefault="00535BEC" w:rsidP="00535BEC">
      <w:pPr>
        <w:pStyle w:val="ListParagraph"/>
        <w:numPr>
          <w:ilvl w:val="0"/>
          <w:numId w:val="43"/>
        </w:numPr>
      </w:pPr>
      <w:r w:rsidRPr="00066384">
        <w:t>diseases involving the synovium and related tissue (</w:t>
      </w:r>
      <w:proofErr w:type="gramStart"/>
      <w:r w:rsidRPr="00066384">
        <w:t>e.g.</w:t>
      </w:r>
      <w:proofErr w:type="gramEnd"/>
      <w:r w:rsidRPr="00066384">
        <w:t xml:space="preserve"> synovitis, tenosynovitis)</w:t>
      </w:r>
    </w:p>
    <w:p w14:paraId="4ABB915C" w14:textId="3A700C7B" w:rsidR="00535BEC" w:rsidRPr="00066384" w:rsidRDefault="00535BEC" w:rsidP="00535BEC">
      <w:pPr>
        <w:pStyle w:val="ListParagraph"/>
        <w:numPr>
          <w:ilvl w:val="0"/>
          <w:numId w:val="43"/>
        </w:numPr>
      </w:pPr>
      <w:r w:rsidRPr="00066384">
        <w:t>diseases of muscle, tendon and related tissue (</w:t>
      </w:r>
      <w:proofErr w:type="gramStart"/>
      <w:r w:rsidRPr="00066384">
        <w:t>e.g.</w:t>
      </w:r>
      <w:proofErr w:type="gramEnd"/>
      <w:r w:rsidRPr="00066384">
        <w:t xml:space="preserve"> non-traumatic muscle or tendon strain, tendinitis, epicondylitis), and </w:t>
      </w:r>
    </w:p>
    <w:p w14:paraId="50D043C8" w14:textId="7218C997" w:rsidR="009C5AB1" w:rsidRDefault="00535BEC" w:rsidP="00591D51">
      <w:pPr>
        <w:pStyle w:val="ListParagraph"/>
        <w:numPr>
          <w:ilvl w:val="0"/>
          <w:numId w:val="43"/>
        </w:numPr>
      </w:pPr>
      <w:r w:rsidRPr="00066384">
        <w:t>other soft tissue diseases (</w:t>
      </w:r>
      <w:proofErr w:type="gramStart"/>
      <w:r w:rsidRPr="00066384">
        <w:t>e.g.</w:t>
      </w:r>
      <w:proofErr w:type="gramEnd"/>
      <w:r w:rsidRPr="00066384">
        <w:t xml:space="preserve"> bursitis, occupational overuse syndrome).</w:t>
      </w:r>
      <w:r w:rsidRPr="00066384">
        <w:rPr>
          <w:rStyle w:val="FootnoteReference"/>
        </w:rPr>
        <w:footnoteReference w:id="2"/>
      </w:r>
    </w:p>
    <w:p w14:paraId="68F2EEEA" w14:textId="2156CCE9" w:rsidR="009C5AB1" w:rsidRPr="009C5AB1" w:rsidRDefault="009C5AB1" w:rsidP="00D05E23">
      <w:pPr>
        <w:spacing w:after="160"/>
        <w:rPr>
          <w:b/>
          <w:bCs/>
        </w:rPr>
      </w:pPr>
      <w:r>
        <w:rPr>
          <w:b/>
          <w:bCs/>
        </w:rPr>
        <w:t xml:space="preserve">The causes of </w:t>
      </w:r>
      <w:r w:rsidR="008F60CD">
        <w:rPr>
          <w:b/>
          <w:bCs/>
        </w:rPr>
        <w:t>MSDs</w:t>
      </w:r>
    </w:p>
    <w:p w14:paraId="1E7A6C84" w14:textId="6C5A8D7D" w:rsidR="00EF7AB7" w:rsidRPr="00066384" w:rsidRDefault="002E252E" w:rsidP="00D05E23">
      <w:pPr>
        <w:spacing w:after="160"/>
      </w:pPr>
      <w:r w:rsidRPr="00066384">
        <w:t xml:space="preserve">Work-related </w:t>
      </w:r>
      <w:r w:rsidR="00EF7AB7" w:rsidRPr="00066384">
        <w:t xml:space="preserve">MSDs often involve a complex interaction between </w:t>
      </w:r>
      <w:r w:rsidR="00EB065F" w:rsidRPr="00066384">
        <w:t xml:space="preserve">several distinct </w:t>
      </w:r>
      <w:r w:rsidR="00EF7AB7" w:rsidRPr="00066384">
        <w:t xml:space="preserve">causal </w:t>
      </w:r>
      <w:r w:rsidRPr="00066384">
        <w:t xml:space="preserve">risk </w:t>
      </w:r>
      <w:r w:rsidR="00EF7AB7" w:rsidRPr="00066384">
        <w:t>factors</w:t>
      </w:r>
      <w:r w:rsidRPr="00066384">
        <w:t>. These include</w:t>
      </w:r>
      <w:r w:rsidR="00EF7AB7" w:rsidRPr="00066384">
        <w:t>:</w:t>
      </w:r>
    </w:p>
    <w:p w14:paraId="59A1D600" w14:textId="030CC382" w:rsidR="00EF7AB7" w:rsidRPr="00066384" w:rsidRDefault="00EF7AB7" w:rsidP="00D05E23">
      <w:pPr>
        <w:pStyle w:val="ListParagraph"/>
        <w:numPr>
          <w:ilvl w:val="0"/>
          <w:numId w:val="27"/>
        </w:numPr>
      </w:pPr>
      <w:r w:rsidRPr="00066384">
        <w:t>physical factors such as repetitive tasks, heavy lifting, adverse postures</w:t>
      </w:r>
    </w:p>
    <w:p w14:paraId="309B93DE" w14:textId="7148E87E" w:rsidR="00EF7AB7" w:rsidRPr="00066384" w:rsidRDefault="00EF7AB7" w:rsidP="00D05E23">
      <w:pPr>
        <w:pStyle w:val="ListParagraph"/>
        <w:numPr>
          <w:ilvl w:val="0"/>
          <w:numId w:val="27"/>
        </w:numPr>
      </w:pPr>
      <w:r w:rsidRPr="00066384">
        <w:t>psychosocial factors</w:t>
      </w:r>
      <w:r w:rsidR="00772752" w:rsidRPr="00066384">
        <w:t xml:space="preserve"> such as</w:t>
      </w:r>
      <w:r w:rsidRPr="00066384">
        <w:t xml:space="preserve"> low control/demand, low supervisor support, low recognition,</w:t>
      </w:r>
      <w:r w:rsidR="00772752" w:rsidRPr="00066384">
        <w:t xml:space="preserve"> and</w:t>
      </w:r>
    </w:p>
    <w:p w14:paraId="5B848BA1" w14:textId="21A788F0" w:rsidR="00EF7AB7" w:rsidRPr="00066384" w:rsidRDefault="00EF7AB7" w:rsidP="00D05E23">
      <w:pPr>
        <w:pStyle w:val="ListParagraph"/>
        <w:numPr>
          <w:ilvl w:val="0"/>
          <w:numId w:val="27"/>
        </w:numPr>
      </w:pPr>
      <w:r w:rsidRPr="00066384">
        <w:t>organisational factors</w:t>
      </w:r>
      <w:r w:rsidR="00772752" w:rsidRPr="00066384">
        <w:t xml:space="preserve"> such as</w:t>
      </w:r>
      <w:r w:rsidRPr="00066384">
        <w:t xml:space="preserve"> high workloads, night shifts.</w:t>
      </w:r>
    </w:p>
    <w:p w14:paraId="56756ECA" w14:textId="58C47984" w:rsidR="009145CD" w:rsidRPr="00066384" w:rsidRDefault="009145CD" w:rsidP="00591D51">
      <w:pPr>
        <w:pStyle w:val="IntroPara"/>
        <w:keepNext/>
        <w:spacing w:after="160"/>
      </w:pPr>
      <w:r w:rsidRPr="00066384">
        <w:lastRenderedPageBreak/>
        <w:t xml:space="preserve">National Data </w:t>
      </w:r>
    </w:p>
    <w:p w14:paraId="2B348872" w14:textId="07A9BCBE" w:rsidR="00591D51" w:rsidRDefault="00F4135D" w:rsidP="00D05E23">
      <w:pPr>
        <w:spacing w:after="160"/>
      </w:pPr>
      <w:r w:rsidRPr="00066384">
        <w:t>The economi</w:t>
      </w:r>
      <w:r w:rsidR="00E159D1" w:rsidRPr="00066384">
        <w:t>c and health</w:t>
      </w:r>
      <w:r w:rsidRPr="00066384">
        <w:t xml:space="preserve"> burden of work-related </w:t>
      </w:r>
      <w:r w:rsidR="00F61121" w:rsidRPr="00066384">
        <w:t>MSDs</w:t>
      </w:r>
      <w:r w:rsidRPr="00066384">
        <w:t xml:space="preserve"> </w:t>
      </w:r>
      <w:r w:rsidR="00DF39DB" w:rsidRPr="00066384">
        <w:t xml:space="preserve">in Australia </w:t>
      </w:r>
      <w:r w:rsidRPr="00066384">
        <w:t>is significant</w:t>
      </w:r>
      <w:r w:rsidR="00270560" w:rsidRPr="00066384">
        <w:t xml:space="preserve">: </w:t>
      </w:r>
      <w:r w:rsidR="001D77C8" w:rsidRPr="00066384">
        <w:t>In 201</w:t>
      </w:r>
      <w:r w:rsidR="0062666A">
        <w:t>2</w:t>
      </w:r>
      <w:r w:rsidR="001D77C8" w:rsidRPr="00066384">
        <w:t>-201</w:t>
      </w:r>
      <w:r w:rsidR="0062666A">
        <w:t>3</w:t>
      </w:r>
      <w:r w:rsidR="001D77C8" w:rsidRPr="00066384">
        <w:t>, the estimated annual cost of work-related MSDs to the Australian economy was more than $24 billion.</w:t>
      </w:r>
      <w:r w:rsidR="001D77C8" w:rsidRPr="00066384">
        <w:rPr>
          <w:rStyle w:val="FootnoteReference"/>
        </w:rPr>
        <w:footnoteReference w:id="3"/>
      </w:r>
      <w:r w:rsidR="001D77C8" w:rsidRPr="00066384">
        <w:t xml:space="preserve"> </w:t>
      </w:r>
    </w:p>
    <w:p w14:paraId="0E54611F" w14:textId="77777777" w:rsidR="00591D51" w:rsidRDefault="00591D51" w:rsidP="00D05E23">
      <w:pPr>
        <w:spacing w:after="160"/>
      </w:pPr>
      <w:r>
        <w:t xml:space="preserve">In 2019-20, </w:t>
      </w:r>
      <w:r w:rsidR="00AD1204" w:rsidRPr="00066384">
        <w:t>58% of serious workers’ compensation</w:t>
      </w:r>
      <w:r w:rsidR="001D77C8" w:rsidRPr="00066384">
        <w:t xml:space="preserve"> claims </w:t>
      </w:r>
      <w:r w:rsidR="00AD1204" w:rsidRPr="00066384">
        <w:t>were for MSD</w:t>
      </w:r>
      <w:r w:rsidR="0050494E" w:rsidRPr="00066384">
        <w:t>s</w:t>
      </w:r>
      <w:r w:rsidR="00480136">
        <w:t xml:space="preserve"> (</w:t>
      </w:r>
      <w:r w:rsidR="001C363B">
        <w:t>38% MSD injuries, 18% MSD diseases</w:t>
      </w:r>
      <w:r w:rsidR="00480136">
        <w:t>)</w:t>
      </w:r>
      <w:r w:rsidR="001D77C8" w:rsidRPr="00066384">
        <w:t>.</w:t>
      </w:r>
      <w:r w:rsidR="008048B4" w:rsidRPr="00066384">
        <w:rPr>
          <w:rStyle w:val="FootnoteReference"/>
        </w:rPr>
        <w:footnoteReference w:id="4"/>
      </w:r>
      <w:r w:rsidR="00AD1204" w:rsidRPr="00066384">
        <w:t xml:space="preserve"> </w:t>
      </w:r>
      <w:r w:rsidR="0050494E" w:rsidRPr="00066384">
        <w:t xml:space="preserve">MSDs have long been the most common source of serious workers’ compensation claims in Australia. </w:t>
      </w:r>
      <w:r w:rsidR="001D5529" w:rsidRPr="00066384">
        <w:t>Be</w:t>
      </w:r>
      <w:r w:rsidR="00270560" w:rsidRPr="00066384">
        <w:t>tween 2009–10 and 2013–14, there were 360</w:t>
      </w:r>
      <w:r w:rsidR="0050494E" w:rsidRPr="00066384">
        <w:t>,</w:t>
      </w:r>
      <w:r w:rsidR="00270560" w:rsidRPr="00066384">
        <w:t>180 serious MSD claims</w:t>
      </w:r>
      <w:r w:rsidR="0050494E" w:rsidRPr="00066384">
        <w:t>, accounting for 60% of all claims during the period. Of the</w:t>
      </w:r>
      <w:r w:rsidR="00C85852" w:rsidRPr="00066384">
        <w:t xml:space="preserve"> serious</w:t>
      </w:r>
      <w:r w:rsidR="0050494E" w:rsidRPr="00066384">
        <w:t xml:space="preserve"> </w:t>
      </w:r>
      <w:r w:rsidR="008653C6" w:rsidRPr="00066384">
        <w:t xml:space="preserve">MSD </w:t>
      </w:r>
      <w:r w:rsidR="0050494E" w:rsidRPr="00066384">
        <w:t>claims du</w:t>
      </w:r>
      <w:r w:rsidR="009145CD" w:rsidRPr="00066384">
        <w:t>ring this period, MSD injuries accounted for 76% and MSD diseases for 24%.</w:t>
      </w:r>
      <w:r w:rsidR="008653C6" w:rsidRPr="00066384">
        <w:rPr>
          <w:rStyle w:val="FootnoteReference"/>
        </w:rPr>
        <w:footnoteReference w:id="5"/>
      </w:r>
      <w:r w:rsidR="00CB03BA" w:rsidRPr="00066384">
        <w:t xml:space="preserve"> </w:t>
      </w:r>
    </w:p>
    <w:p w14:paraId="269232AB" w14:textId="1963377C" w:rsidR="00665C7C" w:rsidRPr="00066384" w:rsidRDefault="0080518A" w:rsidP="00D05E23">
      <w:pPr>
        <w:spacing w:after="160"/>
      </w:pPr>
      <w:r w:rsidRPr="00066384">
        <w:t xml:space="preserve">As well as resulting in </w:t>
      </w:r>
      <w:r w:rsidR="001A05D8" w:rsidRPr="00066384">
        <w:t xml:space="preserve">more </w:t>
      </w:r>
      <w:r w:rsidRPr="00066384">
        <w:t xml:space="preserve">serious claims </w:t>
      </w:r>
      <w:r w:rsidR="001A05D8" w:rsidRPr="00066384">
        <w:t xml:space="preserve">than any other </w:t>
      </w:r>
      <w:r w:rsidRPr="00066384">
        <w:t xml:space="preserve">of </w:t>
      </w:r>
      <w:r w:rsidR="001A05D8" w:rsidRPr="00066384">
        <w:t>type of injury/disease</w:t>
      </w:r>
      <w:r w:rsidRPr="00066384">
        <w:t xml:space="preserve">, MSDs have the greatest frequency rate (number of </w:t>
      </w:r>
      <w:r w:rsidR="00BD1FB1" w:rsidRPr="00066384">
        <w:t xml:space="preserve">serious </w:t>
      </w:r>
      <w:r w:rsidR="007B32A9" w:rsidRPr="00066384">
        <w:t xml:space="preserve">workers’ compensation </w:t>
      </w:r>
      <w:r w:rsidRPr="00066384">
        <w:t xml:space="preserve">claims per million hours worked) of any </w:t>
      </w:r>
      <w:r w:rsidR="001A05D8" w:rsidRPr="00066384">
        <w:t>type of injury/disease</w:t>
      </w:r>
      <w:r w:rsidR="00510622" w:rsidRPr="00066384">
        <w:t xml:space="preserve"> in Australia</w:t>
      </w:r>
      <w:r w:rsidR="001A05D8" w:rsidRPr="00066384">
        <w:t>.</w:t>
      </w:r>
      <w:r w:rsidR="00A0186A" w:rsidRPr="00066384">
        <w:rPr>
          <w:rStyle w:val="FootnoteReference"/>
        </w:rPr>
        <w:footnoteReference w:id="6"/>
      </w:r>
      <w:r w:rsidR="00A475F2" w:rsidRPr="00066384">
        <w:t xml:space="preserve"> The median</w:t>
      </w:r>
      <w:r w:rsidR="00B205BE" w:rsidRPr="00066384">
        <w:t xml:space="preserve"> </w:t>
      </w:r>
      <w:r w:rsidR="00480136">
        <w:t xml:space="preserve">work </w:t>
      </w:r>
      <w:r w:rsidR="00B205BE" w:rsidRPr="00066384">
        <w:t>time lost for serious MSD claims was 6 weeks in 2015-2016.</w:t>
      </w:r>
      <w:r w:rsidR="00117FA2" w:rsidRPr="00066384">
        <w:rPr>
          <w:rStyle w:val="FootnoteReference"/>
        </w:rPr>
        <w:footnoteReference w:id="7"/>
      </w:r>
      <w:r w:rsidR="00B205BE" w:rsidRPr="00066384">
        <w:t xml:space="preserve"> </w:t>
      </w:r>
      <w:r w:rsidR="00A475F2" w:rsidRPr="00066384">
        <w:t xml:space="preserve"> </w:t>
      </w:r>
      <w:r w:rsidRPr="00066384">
        <w:t xml:space="preserve"> </w:t>
      </w:r>
    </w:p>
    <w:p w14:paraId="74E52D3B" w14:textId="22D98CF3" w:rsidR="00E96134" w:rsidRPr="004650FD" w:rsidRDefault="00EB065F" w:rsidP="00D05E23">
      <w:pPr>
        <w:spacing w:after="160"/>
        <w:rPr>
          <w:highlight w:val="yellow"/>
        </w:rPr>
      </w:pPr>
      <w:r w:rsidRPr="004650FD">
        <w:rPr>
          <w:noProof/>
        </w:rPr>
        <w:drawing>
          <wp:inline distT="0" distB="0" distL="0" distR="0" wp14:anchorId="0F010299" wp14:editId="38162CF7">
            <wp:extent cx="6619875" cy="2605012"/>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84369" cy="2630391"/>
                    </a:xfrm>
                    <a:prstGeom prst="rect">
                      <a:avLst/>
                    </a:prstGeom>
                  </pic:spPr>
                </pic:pic>
              </a:graphicData>
            </a:graphic>
          </wp:inline>
        </w:drawing>
      </w:r>
    </w:p>
    <w:p w14:paraId="41A3566F" w14:textId="45513712" w:rsidR="00F22725" w:rsidRPr="00960495" w:rsidRDefault="008F60CD" w:rsidP="00F22725">
      <w:pPr>
        <w:spacing w:after="160"/>
      </w:pPr>
      <w:r w:rsidRPr="00960495">
        <w:t>Frequency rate data by occupation is not available for the ACT.</w:t>
      </w:r>
      <w:r>
        <w:t xml:space="preserve"> </w:t>
      </w:r>
      <w:r w:rsidR="00F22725" w:rsidRPr="00960495">
        <w:t xml:space="preserve">The occupation groups with the highest frequency rate of MSD claims nationally are:  </w:t>
      </w:r>
    </w:p>
    <w:p w14:paraId="3237C3FB" w14:textId="4B30D2F8" w:rsidR="00F22725" w:rsidRPr="00960495" w:rsidRDefault="008F60CD" w:rsidP="00F22725">
      <w:pPr>
        <w:pStyle w:val="ListParagraph"/>
        <w:numPr>
          <w:ilvl w:val="0"/>
          <w:numId w:val="39"/>
        </w:numPr>
      </w:pPr>
      <w:r>
        <w:t>l</w:t>
      </w:r>
      <w:r w:rsidR="00F22725" w:rsidRPr="00960495">
        <w:t>abourers (11.3)</w:t>
      </w:r>
      <w:r w:rsidR="00F22725">
        <w:t>,</w:t>
      </w:r>
      <w:r w:rsidR="00F22725" w:rsidRPr="00960495">
        <w:t xml:space="preserve">  </w:t>
      </w:r>
    </w:p>
    <w:p w14:paraId="20663DFD" w14:textId="2B1A471E" w:rsidR="00F22725" w:rsidRPr="00960495" w:rsidRDefault="008F60CD" w:rsidP="00F22725">
      <w:pPr>
        <w:pStyle w:val="ListParagraph"/>
        <w:numPr>
          <w:ilvl w:val="0"/>
          <w:numId w:val="39"/>
        </w:numPr>
      </w:pPr>
      <w:r>
        <w:t>c</w:t>
      </w:r>
      <w:r w:rsidR="00F22725" w:rsidRPr="00960495">
        <w:t xml:space="preserve">ommunity and </w:t>
      </w:r>
      <w:r w:rsidR="00F22725">
        <w:t>p</w:t>
      </w:r>
      <w:r w:rsidR="00F22725" w:rsidRPr="00960495">
        <w:t xml:space="preserve">ersonal </w:t>
      </w:r>
      <w:r w:rsidR="00F22725">
        <w:t>s</w:t>
      </w:r>
      <w:r w:rsidR="00F22725" w:rsidRPr="00960495">
        <w:t xml:space="preserve">ervice </w:t>
      </w:r>
      <w:r w:rsidR="00F22725">
        <w:t>w</w:t>
      </w:r>
      <w:r w:rsidR="00F22725" w:rsidRPr="00960495">
        <w:t>orkers (9.5)</w:t>
      </w:r>
      <w:r w:rsidR="00F22725">
        <w:t>, and</w:t>
      </w:r>
      <w:r w:rsidR="00F22725" w:rsidRPr="00960495">
        <w:t xml:space="preserve"> </w:t>
      </w:r>
    </w:p>
    <w:p w14:paraId="0D64E988" w14:textId="2A270744" w:rsidR="00F22725" w:rsidRPr="00960495" w:rsidRDefault="008F60CD" w:rsidP="00F22725">
      <w:pPr>
        <w:pStyle w:val="ListParagraph"/>
        <w:numPr>
          <w:ilvl w:val="0"/>
          <w:numId w:val="39"/>
        </w:numPr>
      </w:pPr>
      <w:r>
        <w:t>m</w:t>
      </w:r>
      <w:r w:rsidR="00F22725" w:rsidRPr="00960495">
        <w:t xml:space="preserve">achinery </w:t>
      </w:r>
      <w:r w:rsidR="00F22725">
        <w:t>o</w:t>
      </w:r>
      <w:r w:rsidR="00F22725" w:rsidRPr="00960495">
        <w:t xml:space="preserve">perators and </w:t>
      </w:r>
      <w:r w:rsidR="00F22725">
        <w:t>d</w:t>
      </w:r>
      <w:r w:rsidR="00F22725" w:rsidRPr="00960495">
        <w:t>rivers (8.4)</w:t>
      </w:r>
      <w:r w:rsidR="00F22725">
        <w:t>.</w:t>
      </w:r>
      <w:r w:rsidR="00F22725" w:rsidRPr="00960495">
        <w:t xml:space="preserve"> </w:t>
      </w:r>
    </w:p>
    <w:p w14:paraId="735FB8FB" w14:textId="77777777" w:rsidR="00F22725" w:rsidRPr="00960495" w:rsidRDefault="00F22725" w:rsidP="00F22725">
      <w:r w:rsidRPr="00960495">
        <w:t>The occupation sub-groups</w:t>
      </w:r>
      <w:r>
        <w:rPr>
          <w:rStyle w:val="FootnoteReference"/>
        </w:rPr>
        <w:footnoteReference w:id="8"/>
      </w:r>
      <w:r w:rsidRPr="00960495">
        <w:t xml:space="preserve"> with the highest frequency </w:t>
      </w:r>
      <w:r>
        <w:t xml:space="preserve">rates </w:t>
      </w:r>
      <w:r w:rsidRPr="00960495">
        <w:t xml:space="preserve">are:  </w:t>
      </w:r>
    </w:p>
    <w:p w14:paraId="3A486653" w14:textId="364E8C7A" w:rsidR="00F22725" w:rsidRPr="00960495" w:rsidRDefault="008F60CD" w:rsidP="00F22725">
      <w:pPr>
        <w:pStyle w:val="ListParagraph"/>
        <w:numPr>
          <w:ilvl w:val="0"/>
          <w:numId w:val="40"/>
        </w:numPr>
      </w:pPr>
      <w:r>
        <w:t>h</w:t>
      </w:r>
      <w:r w:rsidR="00F22725" w:rsidRPr="00960495">
        <w:t xml:space="preserve">ealth and </w:t>
      </w:r>
      <w:r w:rsidR="00F22725">
        <w:t>w</w:t>
      </w:r>
      <w:r w:rsidR="00F22725" w:rsidRPr="00960495">
        <w:t xml:space="preserve">elfare </w:t>
      </w:r>
      <w:r w:rsidR="00F22725">
        <w:t>s</w:t>
      </w:r>
      <w:r w:rsidR="00F22725" w:rsidRPr="00960495">
        <w:t xml:space="preserve">upport </w:t>
      </w:r>
      <w:r w:rsidR="00F22725">
        <w:t>w</w:t>
      </w:r>
      <w:r w:rsidR="00F22725" w:rsidRPr="00960495">
        <w:t>orkers (15.8)</w:t>
      </w:r>
    </w:p>
    <w:p w14:paraId="068A62C9" w14:textId="7E6FF6D0" w:rsidR="00F22725" w:rsidRPr="00960495" w:rsidRDefault="008F60CD" w:rsidP="00F22725">
      <w:pPr>
        <w:pStyle w:val="ListParagraph"/>
        <w:numPr>
          <w:ilvl w:val="0"/>
          <w:numId w:val="40"/>
        </w:numPr>
      </w:pPr>
      <w:r>
        <w:t>d</w:t>
      </w:r>
      <w:r w:rsidR="00F22725" w:rsidRPr="00960495">
        <w:t xml:space="preserve">efence </w:t>
      </w:r>
      <w:r w:rsidR="00F22725">
        <w:t>f</w:t>
      </w:r>
      <w:r w:rsidR="00F22725" w:rsidRPr="00960495">
        <w:t xml:space="preserve">orce </w:t>
      </w:r>
      <w:r w:rsidR="00F22725">
        <w:t>m</w:t>
      </w:r>
      <w:r w:rsidR="00F22725" w:rsidRPr="00960495">
        <w:t xml:space="preserve">embers, </w:t>
      </w:r>
      <w:r w:rsidR="00F22725">
        <w:t>f</w:t>
      </w:r>
      <w:r w:rsidR="00F22725" w:rsidRPr="00960495">
        <w:t xml:space="preserve">ire </w:t>
      </w:r>
      <w:r w:rsidR="00F22725">
        <w:t>f</w:t>
      </w:r>
      <w:r w:rsidR="00F22725" w:rsidRPr="00960495">
        <w:t xml:space="preserve">ighters and </w:t>
      </w:r>
      <w:r w:rsidR="00F22725">
        <w:t>p</w:t>
      </w:r>
      <w:r w:rsidR="00F22725" w:rsidRPr="00960495">
        <w:t>olice (15.0)</w:t>
      </w:r>
      <w:r w:rsidR="00F22725">
        <w:t>, and</w:t>
      </w:r>
      <w:r w:rsidR="00F22725" w:rsidRPr="00960495">
        <w:t xml:space="preserve"> </w:t>
      </w:r>
    </w:p>
    <w:p w14:paraId="05FC6A54" w14:textId="68B404A3" w:rsidR="00F22725" w:rsidRDefault="008F60CD" w:rsidP="00F22725">
      <w:pPr>
        <w:pStyle w:val="ListParagraph"/>
        <w:numPr>
          <w:ilvl w:val="0"/>
          <w:numId w:val="40"/>
        </w:numPr>
      </w:pPr>
      <w:r>
        <w:lastRenderedPageBreak/>
        <w:t>p</w:t>
      </w:r>
      <w:r w:rsidR="00F22725" w:rsidRPr="00960495">
        <w:t xml:space="preserve">ersonal </w:t>
      </w:r>
      <w:r w:rsidR="00F22725">
        <w:t>c</w:t>
      </w:r>
      <w:r w:rsidR="00F22725" w:rsidRPr="00960495">
        <w:t xml:space="preserve">arers and </w:t>
      </w:r>
      <w:r w:rsidR="00F22725">
        <w:t>a</w:t>
      </w:r>
      <w:r w:rsidR="00F22725" w:rsidRPr="00960495">
        <w:t>ssistants (14.7)</w:t>
      </w:r>
      <w:r w:rsidR="00F22725">
        <w:t>.</w:t>
      </w:r>
      <w:r w:rsidR="00F22725" w:rsidRPr="00960495">
        <w:rPr>
          <w:rStyle w:val="FootnoteReference"/>
        </w:rPr>
        <w:footnoteReference w:id="9"/>
      </w:r>
    </w:p>
    <w:p w14:paraId="5B114A78" w14:textId="354ED4B6" w:rsidR="000B1B7A" w:rsidRPr="00744CA3" w:rsidRDefault="000B1B7A" w:rsidP="00D05E23">
      <w:pPr>
        <w:pStyle w:val="IntroPara"/>
        <w:spacing w:after="160"/>
        <w:rPr>
          <w:color w:val="00A841" w:themeColor="accent1"/>
          <w:sz w:val="28"/>
          <w:szCs w:val="28"/>
        </w:rPr>
      </w:pPr>
      <w:r w:rsidRPr="00744CA3">
        <w:rPr>
          <w:color w:val="00A841" w:themeColor="accent1"/>
          <w:sz w:val="28"/>
          <w:szCs w:val="28"/>
        </w:rPr>
        <w:t xml:space="preserve">ACT Data </w:t>
      </w:r>
    </w:p>
    <w:p w14:paraId="4162BE40" w14:textId="1D63ADAA" w:rsidR="000B1B7A" w:rsidRPr="00066384" w:rsidRDefault="000B1B7A" w:rsidP="00D05E23">
      <w:pPr>
        <w:spacing w:after="160"/>
      </w:pPr>
      <w:r w:rsidRPr="00066384">
        <w:t>In the ACT, MSD claims comprised</w:t>
      </w:r>
      <w:r w:rsidR="008F60CD">
        <w:t xml:space="preserve"> of</w:t>
      </w:r>
      <w:r w:rsidRPr="00066384">
        <w:t xml:space="preserve"> 5</w:t>
      </w:r>
      <w:r w:rsidR="00C03854" w:rsidRPr="00066384">
        <w:t>7</w:t>
      </w:r>
      <w:r w:rsidRPr="00066384">
        <w:t>% of all</w:t>
      </w:r>
      <w:r w:rsidR="00C03854" w:rsidRPr="00066384">
        <w:t xml:space="preserve"> accepted </w:t>
      </w:r>
      <w:r w:rsidRPr="00066384">
        <w:t>private sector workers’ compensation claims lodged between 2017-2018 and 2020-21. Of these claims</w:t>
      </w:r>
      <w:r w:rsidR="00BF5592" w:rsidRPr="00066384">
        <w:t>,</w:t>
      </w:r>
      <w:r w:rsidRPr="00066384">
        <w:t xml:space="preserve"> 69% </w:t>
      </w:r>
      <w:r w:rsidR="00BD3666" w:rsidRPr="00066384">
        <w:t xml:space="preserve">of </w:t>
      </w:r>
      <w:r w:rsidRPr="00066384">
        <w:t>were for MSD injuries and 31% were for MSD illnesses.</w:t>
      </w:r>
      <w:r w:rsidR="004D34C1">
        <w:rPr>
          <w:rStyle w:val="FootnoteReference"/>
        </w:rPr>
        <w:footnoteReference w:id="10"/>
      </w:r>
      <w:r w:rsidRPr="00066384">
        <w:t xml:space="preserve">  </w:t>
      </w:r>
    </w:p>
    <w:p w14:paraId="0429833B" w14:textId="2CED7E87" w:rsidR="000B1B7A" w:rsidRPr="00066384" w:rsidRDefault="000B1B7A" w:rsidP="00D05E23">
      <w:pPr>
        <w:spacing w:after="160"/>
      </w:pPr>
      <w:r w:rsidRPr="00066384">
        <w:t>The most common MSD claims by nature of injury</w:t>
      </w:r>
      <w:r w:rsidR="00AF7C8D" w:rsidRPr="00066384">
        <w:t xml:space="preserve">/disease </w:t>
      </w:r>
      <w:r w:rsidRPr="00066384">
        <w:t>were</w:t>
      </w:r>
      <w:r w:rsidR="0086567A" w:rsidRPr="00066384">
        <w:t>:</w:t>
      </w:r>
      <w:r w:rsidRPr="00066384">
        <w:t xml:space="preserve"> </w:t>
      </w:r>
    </w:p>
    <w:p w14:paraId="479C2A14" w14:textId="5EDC0569" w:rsidR="000B1B7A" w:rsidRPr="00066384" w:rsidRDefault="00591D51" w:rsidP="00D05E23">
      <w:pPr>
        <w:pStyle w:val="ListParagraph"/>
        <w:numPr>
          <w:ilvl w:val="0"/>
          <w:numId w:val="35"/>
        </w:numPr>
      </w:pPr>
      <w:r>
        <w:t>s</w:t>
      </w:r>
      <w:r w:rsidR="000B1B7A" w:rsidRPr="00066384">
        <w:t xml:space="preserve">oft tissue </w:t>
      </w:r>
      <w:r w:rsidR="00C03854" w:rsidRPr="00066384">
        <w:t xml:space="preserve">injuries due to trauma or unknown mechanisms </w:t>
      </w:r>
      <w:r w:rsidR="0022666E" w:rsidRPr="00066384">
        <w:t>(</w:t>
      </w:r>
      <w:r w:rsidR="004F05DE" w:rsidRPr="00066384">
        <w:t>5</w:t>
      </w:r>
      <w:r w:rsidR="00C03854" w:rsidRPr="00066384">
        <w:t>2</w:t>
      </w:r>
      <w:r w:rsidR="004F05DE" w:rsidRPr="00066384">
        <w:t>%</w:t>
      </w:r>
      <w:r w:rsidR="0022666E" w:rsidRPr="00066384">
        <w:t>)</w:t>
      </w:r>
      <w:r w:rsidR="00480136">
        <w:t xml:space="preserve">, and </w:t>
      </w:r>
      <w:r w:rsidR="0022666E" w:rsidRPr="00066384">
        <w:t xml:space="preserve"> </w:t>
      </w:r>
    </w:p>
    <w:p w14:paraId="448C7024" w14:textId="058F2E2D" w:rsidR="000B1B7A" w:rsidRPr="00066384" w:rsidRDefault="00F22725" w:rsidP="00F22725">
      <w:pPr>
        <w:pStyle w:val="ListParagraph"/>
        <w:numPr>
          <w:ilvl w:val="0"/>
          <w:numId w:val="35"/>
        </w:numPr>
      </w:pPr>
      <w:r>
        <w:rPr>
          <w:noProof/>
        </w:rPr>
        <w:drawing>
          <wp:anchor distT="0" distB="0" distL="114300" distR="114300" simplePos="0" relativeHeight="251658240" behindDoc="0" locked="0" layoutInCell="1" allowOverlap="1" wp14:anchorId="23850C30" wp14:editId="5C1E2AFA">
            <wp:simplePos x="0" y="0"/>
            <wp:positionH relativeFrom="column">
              <wp:posOffset>3025432</wp:posOffset>
            </wp:positionH>
            <wp:positionV relativeFrom="paragraph">
              <wp:posOffset>216535</wp:posOffset>
            </wp:positionV>
            <wp:extent cx="3523135" cy="252000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523135" cy="2520000"/>
                    </a:xfrm>
                    <a:prstGeom prst="rect">
                      <a:avLst/>
                    </a:prstGeom>
                  </pic:spPr>
                </pic:pic>
              </a:graphicData>
            </a:graphic>
          </wp:anchor>
        </w:drawing>
      </w:r>
      <w:r w:rsidR="00591D51">
        <w:t>n</w:t>
      </w:r>
      <w:r w:rsidR="004F05DE" w:rsidRPr="00066384">
        <w:t>on-traumatic muscle or tendon strain (2</w:t>
      </w:r>
      <w:r w:rsidR="00C03854" w:rsidRPr="00066384">
        <w:t>1</w:t>
      </w:r>
      <w:r w:rsidR="004F05DE" w:rsidRPr="00066384">
        <w:t>%)</w:t>
      </w:r>
      <w:r w:rsidR="00480136">
        <w:t>.</w:t>
      </w:r>
      <w:r w:rsidR="004F05DE" w:rsidRPr="00066384">
        <w:t xml:space="preserve"> </w:t>
      </w:r>
      <w:r w:rsidR="0022666E" w:rsidRPr="00066384">
        <w:t xml:space="preserve"> </w:t>
      </w:r>
    </w:p>
    <w:p w14:paraId="1584D392" w14:textId="16C99EFE" w:rsidR="0061653F" w:rsidRPr="00066384" w:rsidRDefault="001C7046" w:rsidP="00E93EBA">
      <w:pPr>
        <w:spacing w:after="160"/>
      </w:pPr>
      <w:r w:rsidRPr="00066384">
        <w:t>W</w:t>
      </w:r>
      <w:r w:rsidR="000B1B7A" w:rsidRPr="00066384">
        <w:t>ork-related MSDs can arise from exposure to a single, primary mechanism or multiple, secondary mechanisms over long periods of time. When workers’ compensation data are coded, only the primary mechanism of each injury or disease is recorded</w:t>
      </w:r>
      <w:r w:rsidR="004307AC" w:rsidRPr="00066384">
        <w:t>. T</w:t>
      </w:r>
      <w:r w:rsidR="000B1B7A" w:rsidRPr="00066384">
        <w:t>his means that secondary mechanisms are not captured. It is important to consider this limitation when interpreting statistics on the mechanisms of MSDs.</w:t>
      </w:r>
      <w:r w:rsidR="00C05361" w:rsidRPr="00066384">
        <w:rPr>
          <w:rStyle w:val="FootnoteReference"/>
        </w:rPr>
        <w:footnoteReference w:id="11"/>
      </w:r>
    </w:p>
    <w:p w14:paraId="472B2398" w14:textId="792AD640" w:rsidR="00D115FC" w:rsidRPr="00FF5CA7" w:rsidRDefault="00D115FC" w:rsidP="00D115FC">
      <w:pPr>
        <w:tabs>
          <w:tab w:val="left" w:pos="2070"/>
        </w:tabs>
        <w:rPr>
          <w:rFonts w:cs="Arial"/>
        </w:rPr>
      </w:pPr>
      <w:r>
        <w:rPr>
          <w:rFonts w:cs="Arial"/>
        </w:rPr>
        <w:t>Labourers were recorded as comprising only 5% of the ACT’s workforce in the 2016 census, so are greatly overrepresented in the MSD claims data. The representation of technicians and trades workers and community and personal service workers in the MSD claims statistics is closer to their representation in the ACT’s workforce (</w:t>
      </w:r>
      <w:r>
        <w:t>Technicians and trade workers comprised 9.6% of Territory workers and community and personal service workers 10.6% of workers in the 2016 census</w:t>
      </w:r>
      <w:r w:rsidR="00F22725">
        <w:rPr>
          <w:rStyle w:val="FootnoteReference"/>
          <w:rFonts w:cs="Arial"/>
        </w:rPr>
        <w:footnoteReference w:id="12"/>
      </w:r>
      <w:r>
        <w:t>).</w:t>
      </w:r>
      <w:r>
        <w:rPr>
          <w:rFonts w:cs="Arial"/>
        </w:rPr>
        <w:t xml:space="preserve"> </w:t>
      </w:r>
    </w:p>
    <w:p w14:paraId="5D016C36" w14:textId="77777777" w:rsidR="00D115FC" w:rsidRPr="00960495" w:rsidRDefault="00D115FC" w:rsidP="00D115FC">
      <w:pPr>
        <w:tabs>
          <w:tab w:val="left" w:pos="2070"/>
        </w:tabs>
        <w:rPr>
          <w:rFonts w:cs="Arial"/>
        </w:rPr>
      </w:pPr>
      <w:r w:rsidRPr="00960495">
        <w:rPr>
          <w:rFonts w:cs="Arial"/>
        </w:rPr>
        <w:t xml:space="preserve">The occupation sub-groups </w:t>
      </w:r>
      <w:r>
        <w:rPr>
          <w:rFonts w:cs="Arial"/>
        </w:rPr>
        <w:t xml:space="preserve">in the ACT </w:t>
      </w:r>
      <w:r w:rsidRPr="00960495">
        <w:rPr>
          <w:rFonts w:cs="Arial"/>
        </w:rPr>
        <w:t xml:space="preserve">with the greatest number of claims were: </w:t>
      </w:r>
    </w:p>
    <w:p w14:paraId="1AA14656" w14:textId="2A14F3F2" w:rsidR="00D115FC" w:rsidRPr="00D316B6" w:rsidRDefault="008F60CD" w:rsidP="00D115FC">
      <w:pPr>
        <w:pStyle w:val="ListParagraph"/>
        <w:numPr>
          <w:ilvl w:val="0"/>
          <w:numId w:val="41"/>
        </w:numPr>
        <w:tabs>
          <w:tab w:val="left" w:pos="2070"/>
        </w:tabs>
        <w:rPr>
          <w:rFonts w:cs="Arial"/>
        </w:rPr>
      </w:pPr>
      <w:r>
        <w:rPr>
          <w:rFonts w:cs="Arial"/>
        </w:rPr>
        <w:t>o</w:t>
      </w:r>
      <w:r w:rsidR="00D115FC" w:rsidRPr="00486C05">
        <w:rPr>
          <w:rFonts w:cs="Arial"/>
        </w:rPr>
        <w:t xml:space="preserve">ther </w:t>
      </w:r>
      <w:r w:rsidR="00D115FC">
        <w:rPr>
          <w:rFonts w:cs="Arial"/>
        </w:rPr>
        <w:t>l</w:t>
      </w:r>
      <w:r w:rsidR="00D115FC" w:rsidRPr="00486C05">
        <w:rPr>
          <w:rFonts w:cs="Arial"/>
        </w:rPr>
        <w:t>abourers (15%)</w:t>
      </w:r>
      <w:r w:rsidR="00D115FC">
        <w:rPr>
          <w:rStyle w:val="FootnoteReference"/>
          <w:rFonts w:cs="Arial"/>
        </w:rPr>
        <w:footnoteReference w:id="13"/>
      </w:r>
      <w:r w:rsidR="00D115FC" w:rsidRPr="00486C05">
        <w:rPr>
          <w:rFonts w:cs="Arial"/>
        </w:rPr>
        <w:t xml:space="preserve"> </w:t>
      </w:r>
    </w:p>
    <w:p w14:paraId="3814083E" w14:textId="11CAB896" w:rsidR="00D115FC" w:rsidRPr="008F60CD" w:rsidRDefault="008F60CD" w:rsidP="00D115FC">
      <w:pPr>
        <w:pStyle w:val="ListParagraph"/>
        <w:numPr>
          <w:ilvl w:val="0"/>
          <w:numId w:val="41"/>
        </w:numPr>
        <w:tabs>
          <w:tab w:val="left" w:pos="2070"/>
        </w:tabs>
        <w:rPr>
          <w:rFonts w:cs="Calibri"/>
          <w:shd w:val="clear" w:color="auto" w:fill="FFFFFF"/>
        </w:rPr>
      </w:pPr>
      <w:r w:rsidRPr="008F60CD">
        <w:rPr>
          <w:rFonts w:cs="Calibri"/>
          <w:shd w:val="clear" w:color="auto" w:fill="FFFFFF"/>
        </w:rPr>
        <w:t>c</w:t>
      </w:r>
      <w:r w:rsidR="00D115FC" w:rsidRPr="008F60CD">
        <w:rPr>
          <w:rFonts w:cs="Calibri"/>
          <w:shd w:val="clear" w:color="auto" w:fill="FFFFFF"/>
        </w:rPr>
        <w:t>arers and aides (10%)</w:t>
      </w:r>
    </w:p>
    <w:p w14:paraId="738CF26F" w14:textId="52126E10" w:rsidR="00D115FC" w:rsidRPr="00486C05" w:rsidRDefault="008F60CD" w:rsidP="00D115FC">
      <w:pPr>
        <w:pStyle w:val="ListParagraph"/>
        <w:numPr>
          <w:ilvl w:val="0"/>
          <w:numId w:val="41"/>
        </w:numPr>
        <w:tabs>
          <w:tab w:val="left" w:pos="2070"/>
        </w:tabs>
        <w:rPr>
          <w:rFonts w:cs="Arial"/>
        </w:rPr>
      </w:pPr>
      <w:r>
        <w:rPr>
          <w:rFonts w:cs="Arial"/>
        </w:rPr>
        <w:t>c</w:t>
      </w:r>
      <w:r w:rsidR="00D115FC" w:rsidRPr="00486C05">
        <w:rPr>
          <w:rFonts w:cs="Arial"/>
        </w:rPr>
        <w:t xml:space="preserve">onstruction </w:t>
      </w:r>
      <w:r w:rsidR="00D115FC">
        <w:rPr>
          <w:rFonts w:cs="Arial"/>
        </w:rPr>
        <w:t>t</w:t>
      </w:r>
      <w:r w:rsidR="00D115FC" w:rsidRPr="00486C05">
        <w:rPr>
          <w:rFonts w:cs="Arial"/>
        </w:rPr>
        <w:t xml:space="preserve">rades </w:t>
      </w:r>
      <w:r w:rsidR="00D115FC">
        <w:rPr>
          <w:rFonts w:cs="Arial"/>
        </w:rPr>
        <w:t>w</w:t>
      </w:r>
      <w:r w:rsidR="00D115FC" w:rsidRPr="00486C05">
        <w:rPr>
          <w:rFonts w:cs="Arial"/>
        </w:rPr>
        <w:t>orkers (6%)</w:t>
      </w:r>
      <w:r w:rsidR="00D115FC">
        <w:rPr>
          <w:rFonts w:cs="Arial"/>
        </w:rPr>
        <w:t>, and</w:t>
      </w:r>
      <w:r w:rsidR="00D115FC" w:rsidRPr="00486C05">
        <w:rPr>
          <w:rFonts w:cs="Arial"/>
        </w:rPr>
        <w:t xml:space="preserve"> </w:t>
      </w:r>
    </w:p>
    <w:p w14:paraId="013D8A35" w14:textId="5030FF6B" w:rsidR="00D115FC" w:rsidRDefault="008F60CD" w:rsidP="00D115FC">
      <w:pPr>
        <w:pStyle w:val="ListParagraph"/>
        <w:numPr>
          <w:ilvl w:val="0"/>
          <w:numId w:val="41"/>
        </w:numPr>
        <w:tabs>
          <w:tab w:val="left" w:pos="2070"/>
        </w:tabs>
        <w:rPr>
          <w:rFonts w:cs="Arial"/>
        </w:rPr>
      </w:pPr>
      <w:r>
        <w:rPr>
          <w:rFonts w:cs="Arial"/>
        </w:rPr>
        <w:t>s</w:t>
      </w:r>
      <w:r w:rsidR="00D115FC" w:rsidRPr="00486C05">
        <w:rPr>
          <w:rFonts w:cs="Arial"/>
        </w:rPr>
        <w:t xml:space="preserve">ales </w:t>
      </w:r>
      <w:r w:rsidR="00D115FC">
        <w:rPr>
          <w:rFonts w:cs="Arial"/>
        </w:rPr>
        <w:t>s</w:t>
      </w:r>
      <w:r w:rsidR="00D115FC" w:rsidRPr="00486C05">
        <w:rPr>
          <w:rFonts w:cs="Arial"/>
        </w:rPr>
        <w:t xml:space="preserve">upport </w:t>
      </w:r>
      <w:r w:rsidR="00D115FC">
        <w:rPr>
          <w:rFonts w:cs="Arial"/>
        </w:rPr>
        <w:t>w</w:t>
      </w:r>
      <w:r w:rsidR="00D115FC" w:rsidRPr="00486C05">
        <w:rPr>
          <w:rFonts w:cs="Arial"/>
        </w:rPr>
        <w:t>orkers (5%)</w:t>
      </w:r>
      <w:r w:rsidR="00D115FC">
        <w:rPr>
          <w:rFonts w:cs="Arial"/>
        </w:rPr>
        <w:t>.</w:t>
      </w:r>
      <w:r w:rsidR="00D115FC" w:rsidRPr="00486C05">
        <w:rPr>
          <w:rFonts w:cs="Arial"/>
        </w:rPr>
        <w:t xml:space="preserve"> </w:t>
      </w:r>
    </w:p>
    <w:p w14:paraId="45528454" w14:textId="60AC4DCB" w:rsidR="00963B7F" w:rsidRPr="00744CA3" w:rsidRDefault="001910C4" w:rsidP="00744CA3">
      <w:pPr>
        <w:pStyle w:val="IntroPara"/>
        <w:spacing w:after="160"/>
        <w:rPr>
          <w:color w:val="00A841" w:themeColor="accent1"/>
          <w:sz w:val="28"/>
          <w:szCs w:val="28"/>
        </w:rPr>
      </w:pPr>
      <w:r w:rsidRPr="00744CA3">
        <w:rPr>
          <w:color w:val="00A841" w:themeColor="accent1"/>
          <w:sz w:val="28"/>
          <w:szCs w:val="28"/>
        </w:rPr>
        <w:t>Strategic alignment</w:t>
      </w:r>
    </w:p>
    <w:p w14:paraId="2748011E" w14:textId="19162431" w:rsidR="00000716" w:rsidRPr="00066384" w:rsidRDefault="00000716" w:rsidP="00D05E23">
      <w:pPr>
        <w:spacing w:after="160"/>
      </w:pPr>
      <w:r w:rsidRPr="00066384">
        <w:t xml:space="preserve">WorkSafe ACT’s Strategy </w:t>
      </w:r>
      <w:r w:rsidR="00A96C7A" w:rsidRPr="00066384">
        <w:t xml:space="preserve">to </w:t>
      </w:r>
      <w:r w:rsidR="00EF7AB7" w:rsidRPr="00066384">
        <w:t>P</w:t>
      </w:r>
      <w:r w:rsidR="00A96C7A" w:rsidRPr="00066384">
        <w:t xml:space="preserve">revent </w:t>
      </w:r>
      <w:r w:rsidR="00E93EBA">
        <w:t xml:space="preserve">Work-Related </w:t>
      </w:r>
      <w:r w:rsidR="00A96C7A" w:rsidRPr="00066384">
        <w:t xml:space="preserve">Musculoskeletal Disorders </w:t>
      </w:r>
      <w:r w:rsidRPr="00066384">
        <w:t xml:space="preserve">(the </w:t>
      </w:r>
      <w:r w:rsidR="00F61121" w:rsidRPr="00066384">
        <w:t>S</w:t>
      </w:r>
      <w:r w:rsidRPr="00066384">
        <w:t>trategy) is developed in alignment with WorkSafe ACT’s governance structure and encompasses the p</w:t>
      </w:r>
      <w:r w:rsidR="004222C6" w:rsidRPr="00066384">
        <w:t>riorities</w:t>
      </w:r>
      <w:r w:rsidRPr="00066384">
        <w:t xml:space="preserve"> within</w:t>
      </w:r>
      <w:r w:rsidR="004222C6" w:rsidRPr="00066384">
        <w:t xml:space="preserve"> the</w:t>
      </w:r>
      <w:r w:rsidRPr="00066384">
        <w:t>:</w:t>
      </w:r>
    </w:p>
    <w:p w14:paraId="105F9479" w14:textId="77777777" w:rsidR="00000716" w:rsidRPr="00066384" w:rsidRDefault="00E84480" w:rsidP="00D05E23">
      <w:pPr>
        <w:pStyle w:val="ListParagraph"/>
        <w:numPr>
          <w:ilvl w:val="0"/>
          <w:numId w:val="17"/>
        </w:numPr>
        <w:rPr>
          <w:rFonts w:cs="Arial"/>
        </w:rPr>
      </w:pPr>
      <w:hyperlink r:id="rId14" w:history="1">
        <w:r w:rsidR="00000716" w:rsidRPr="00066384">
          <w:rPr>
            <w:rStyle w:val="Hyperlink"/>
            <w:rFonts w:cs="Arial"/>
          </w:rPr>
          <w:t>Strategic Plan 2020-2024</w:t>
        </w:r>
      </w:hyperlink>
    </w:p>
    <w:p w14:paraId="3DCF9EC1" w14:textId="0DC36798" w:rsidR="00000716" w:rsidRPr="00066384" w:rsidRDefault="00E84480" w:rsidP="00D05E23">
      <w:pPr>
        <w:pStyle w:val="ListParagraph"/>
        <w:numPr>
          <w:ilvl w:val="0"/>
          <w:numId w:val="17"/>
        </w:numPr>
      </w:pPr>
      <w:hyperlink r:id="rId15" w:history="1">
        <w:r w:rsidR="00000716" w:rsidRPr="00066384">
          <w:rPr>
            <w:rStyle w:val="Hyperlink"/>
          </w:rPr>
          <w:t>Statement of Operational Intent</w:t>
        </w:r>
      </w:hyperlink>
      <w:r w:rsidR="00000716" w:rsidRPr="00066384">
        <w:t>, and</w:t>
      </w:r>
    </w:p>
    <w:p w14:paraId="7DF7C615" w14:textId="6C5650F4" w:rsidR="0054352D" w:rsidRPr="00066384" w:rsidRDefault="00E84480" w:rsidP="00D05E23">
      <w:pPr>
        <w:pStyle w:val="ListParagraph"/>
        <w:numPr>
          <w:ilvl w:val="0"/>
          <w:numId w:val="17"/>
        </w:numPr>
        <w:rPr>
          <w:rFonts w:cs="Arial"/>
        </w:rPr>
      </w:pPr>
      <w:hyperlink r:id="rId16" w:history="1">
        <w:r w:rsidR="00000716" w:rsidRPr="00066384">
          <w:rPr>
            <w:rStyle w:val="Hyperlink"/>
            <w:rFonts w:cs="Arial"/>
          </w:rPr>
          <w:t>Compliance and Enforcement Policy 2020-2024</w:t>
        </w:r>
      </w:hyperlink>
      <w:r w:rsidR="00000716" w:rsidRPr="00066384">
        <w:rPr>
          <w:rFonts w:cs="Arial"/>
        </w:rPr>
        <w:t>.</w:t>
      </w:r>
    </w:p>
    <w:p w14:paraId="16E00911" w14:textId="7C8BBE58" w:rsidR="00E93EBA" w:rsidRDefault="00E93EBA" w:rsidP="00E93EBA">
      <w:pPr>
        <w:spacing w:after="160"/>
      </w:pPr>
      <w:proofErr w:type="gramStart"/>
      <w:r>
        <w:t>In particular, in</w:t>
      </w:r>
      <w:proofErr w:type="gramEnd"/>
      <w:r>
        <w:t xml:space="preserve"> the Strategic Plan, WorkSafe ACT aims to reduce the </w:t>
      </w:r>
      <w:r w:rsidRPr="00E93EBA">
        <w:t xml:space="preserve">incidence rate of claims for musculoskeletal disorders resulting in one or more weeks off work </w:t>
      </w:r>
      <w:r w:rsidR="001D6637">
        <w:t>by</w:t>
      </w:r>
      <w:r w:rsidRPr="00E93EBA">
        <w:t xml:space="preserve"> at least 30%</w:t>
      </w:r>
      <w:r>
        <w:t>.</w:t>
      </w:r>
    </w:p>
    <w:p w14:paraId="655294CA" w14:textId="717E5717" w:rsidR="00626D62" w:rsidRPr="00066384" w:rsidRDefault="00000716" w:rsidP="00E93EBA">
      <w:pPr>
        <w:spacing w:after="160"/>
        <w:rPr>
          <w:highlight w:val="yellow"/>
        </w:rPr>
      </w:pPr>
      <w:r w:rsidRPr="00066384">
        <w:t xml:space="preserve">The Strategy </w:t>
      </w:r>
      <w:r w:rsidR="00F61121" w:rsidRPr="00066384">
        <w:t>is informed by</w:t>
      </w:r>
      <w:r w:rsidRPr="00066384">
        <w:t xml:space="preserve"> WorkSafe ACT’s data and busines</w:t>
      </w:r>
      <w:r w:rsidR="00B56FE6" w:rsidRPr="00066384">
        <w:t>s</w:t>
      </w:r>
      <w:r w:rsidRPr="00066384">
        <w:t xml:space="preserve"> intelligence and the four high-level strategies that underpin </w:t>
      </w:r>
      <w:r w:rsidR="00E8310D" w:rsidRPr="00066384">
        <w:t>its</w:t>
      </w:r>
      <w:r w:rsidRPr="00066384">
        <w:t xml:space="preserve"> activities, as set out in the Strategic Plan 2020-2024</w:t>
      </w:r>
      <w:r w:rsidR="004222C6" w:rsidRPr="00066384">
        <w:t>.</w:t>
      </w:r>
      <w:r w:rsidR="00626D62" w:rsidRPr="00066384">
        <w:rPr>
          <w:highlight w:val="yellow"/>
        </w:rPr>
        <w:t xml:space="preserve"> </w:t>
      </w:r>
    </w:p>
    <w:p w14:paraId="4FC1312A" w14:textId="1596EB97" w:rsidR="00000716" w:rsidRPr="004650FD" w:rsidRDefault="00DA3FD8" w:rsidP="00D05E23">
      <w:pPr>
        <w:spacing w:after="160"/>
        <w:rPr>
          <w:rFonts w:cs="Arial"/>
        </w:rPr>
      </w:pPr>
      <w:r>
        <w:rPr>
          <w:noProof/>
        </w:rPr>
        <w:drawing>
          <wp:inline distT="0" distB="0" distL="0" distR="0" wp14:anchorId="59D8ADB6" wp14:editId="5BC64FF6">
            <wp:extent cx="6696710" cy="235013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696710" cy="2350135"/>
                    </a:xfrm>
                    <a:prstGeom prst="rect">
                      <a:avLst/>
                    </a:prstGeom>
                  </pic:spPr>
                </pic:pic>
              </a:graphicData>
            </a:graphic>
          </wp:inline>
        </w:drawing>
      </w:r>
    </w:p>
    <w:p w14:paraId="1D4BA71E" w14:textId="52E3FA86" w:rsidR="00122A14" w:rsidRPr="004650FD" w:rsidRDefault="00FC4E55" w:rsidP="00D05E23">
      <w:pPr>
        <w:pStyle w:val="Heading2"/>
        <w:spacing w:after="160"/>
      </w:pPr>
      <w:bookmarkStart w:id="1" w:name="_Toc80349763"/>
      <w:r w:rsidRPr="004650FD">
        <w:t xml:space="preserve">PURPOSE </w:t>
      </w:r>
      <w:bookmarkEnd w:id="1"/>
    </w:p>
    <w:p w14:paraId="29142054" w14:textId="31276F04" w:rsidR="00A80B2F" w:rsidRPr="004650FD" w:rsidRDefault="00C107B5" w:rsidP="00D05E23">
      <w:pPr>
        <w:spacing w:after="160"/>
      </w:pPr>
      <w:r w:rsidRPr="004650FD">
        <w:t xml:space="preserve">This Strategy </w:t>
      </w:r>
      <w:r w:rsidR="00B66C2A" w:rsidRPr="004650FD">
        <w:t xml:space="preserve">is the overarching document that captures WorkSafe ACT’s </w:t>
      </w:r>
      <w:r w:rsidR="00AE3D77" w:rsidRPr="004650FD">
        <w:t xml:space="preserve">approach to </w:t>
      </w:r>
      <w:r w:rsidR="004222C6" w:rsidRPr="004650FD">
        <w:t>prevent</w:t>
      </w:r>
      <w:r w:rsidR="00B95A5C" w:rsidRPr="004650FD">
        <w:t>ing</w:t>
      </w:r>
      <w:r w:rsidR="004222C6" w:rsidRPr="004650FD">
        <w:t xml:space="preserve"> </w:t>
      </w:r>
      <w:bookmarkStart w:id="2" w:name="_Toc80349765"/>
      <w:r w:rsidR="00A6464E" w:rsidRPr="004650FD">
        <w:t>MSD</w:t>
      </w:r>
      <w:r w:rsidR="00F61121" w:rsidRPr="004650FD">
        <w:t>s in ACT workplaces</w:t>
      </w:r>
      <w:r w:rsidR="004222C6" w:rsidRPr="004650FD">
        <w:t xml:space="preserve">. </w:t>
      </w:r>
      <w:r w:rsidR="00000716" w:rsidRPr="004650FD">
        <w:t xml:space="preserve">The </w:t>
      </w:r>
      <w:r w:rsidR="00C77939" w:rsidRPr="004650FD">
        <w:t>S</w:t>
      </w:r>
      <w:r w:rsidR="00000716" w:rsidRPr="004650FD">
        <w:t xml:space="preserve">trategy will </w:t>
      </w:r>
      <w:r w:rsidR="00C77939" w:rsidRPr="004650FD">
        <w:t>guide</w:t>
      </w:r>
      <w:r w:rsidR="00000716" w:rsidRPr="004650FD">
        <w:t xml:space="preserve"> the activities of WorkSafe ACT </w:t>
      </w:r>
      <w:r w:rsidR="00C77939" w:rsidRPr="004650FD">
        <w:t xml:space="preserve">to educate, engage and enforce management of </w:t>
      </w:r>
      <w:r w:rsidR="00B95A5C" w:rsidRPr="004650FD">
        <w:t xml:space="preserve">MSD prevention in </w:t>
      </w:r>
      <w:r w:rsidR="00C77939" w:rsidRPr="004650FD">
        <w:t xml:space="preserve">the ACT over the next </w:t>
      </w:r>
      <w:r w:rsidR="00A80B2F" w:rsidRPr="004650FD">
        <w:t xml:space="preserve">two </w:t>
      </w:r>
      <w:r w:rsidR="00C77939" w:rsidRPr="004650FD">
        <w:t>years.</w:t>
      </w:r>
    </w:p>
    <w:p w14:paraId="6BB6ED1E" w14:textId="2FDBEF67" w:rsidR="00D501E4" w:rsidRPr="004650FD" w:rsidRDefault="00FC4E55" w:rsidP="00D05E23">
      <w:pPr>
        <w:pStyle w:val="Heading2"/>
        <w:spacing w:after="160"/>
      </w:pPr>
      <w:r w:rsidRPr="004650FD">
        <w:t>OBJECTIVES</w:t>
      </w:r>
      <w:bookmarkEnd w:id="2"/>
      <w:r w:rsidR="003141FE" w:rsidRPr="004650FD">
        <w:t xml:space="preserve"> </w:t>
      </w:r>
    </w:p>
    <w:p w14:paraId="1AA64F18" w14:textId="144F0111" w:rsidR="00B26C6B" w:rsidRPr="004650FD" w:rsidRDefault="00AE3D77" w:rsidP="00F22725">
      <w:pPr>
        <w:keepNext/>
        <w:spacing w:after="160"/>
      </w:pPr>
      <w:r w:rsidRPr="004650FD">
        <w:t xml:space="preserve">The </w:t>
      </w:r>
      <w:r w:rsidR="00066C24" w:rsidRPr="004650FD">
        <w:t>key objectives of th</w:t>
      </w:r>
      <w:r w:rsidR="00E67209" w:rsidRPr="004650FD">
        <w:t>e</w:t>
      </w:r>
      <w:r w:rsidR="00066C24" w:rsidRPr="004650FD">
        <w:t xml:space="preserve"> Strategy</w:t>
      </w:r>
      <w:r w:rsidRPr="004650FD">
        <w:t xml:space="preserve"> are</w:t>
      </w:r>
      <w:r w:rsidR="007B1F1D" w:rsidRPr="004650FD">
        <w:t>:</w:t>
      </w:r>
    </w:p>
    <w:p w14:paraId="5F3BE3CC" w14:textId="669ED4BF" w:rsidR="007B1F1D" w:rsidRPr="004650FD" w:rsidRDefault="00015EFA" w:rsidP="00D05E23">
      <w:pPr>
        <w:spacing w:after="160"/>
      </w:pPr>
      <w:r>
        <w:rPr>
          <w:noProof/>
        </w:rPr>
        <w:drawing>
          <wp:inline distT="0" distB="0" distL="0" distR="0" wp14:anchorId="7654914E" wp14:editId="0DEF3B0C">
            <wp:extent cx="6696710" cy="2610485"/>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696710" cy="2610485"/>
                    </a:xfrm>
                    <a:prstGeom prst="rect">
                      <a:avLst/>
                    </a:prstGeom>
                  </pic:spPr>
                </pic:pic>
              </a:graphicData>
            </a:graphic>
          </wp:inline>
        </w:drawing>
      </w:r>
    </w:p>
    <w:p w14:paraId="60BE4CD1" w14:textId="0DD16CF3" w:rsidR="00644BBF" w:rsidRPr="005A50A9" w:rsidRDefault="00644BBF" w:rsidP="00D05E23">
      <w:pPr>
        <w:pStyle w:val="Heading3"/>
        <w:spacing w:after="160"/>
        <w:rPr>
          <w:rFonts w:ascii="Raleway" w:hAnsi="Raleway"/>
          <w:color w:val="00A841" w:themeColor="accent1"/>
        </w:rPr>
      </w:pPr>
      <w:r w:rsidRPr="005A50A9">
        <w:rPr>
          <w:rFonts w:ascii="Raleway" w:hAnsi="Raleway"/>
          <w:color w:val="00A841" w:themeColor="accent1"/>
        </w:rPr>
        <w:t>Supporting the key objectives</w:t>
      </w:r>
    </w:p>
    <w:p w14:paraId="15691493" w14:textId="1EB37D81" w:rsidR="00644BBF" w:rsidRPr="004650FD" w:rsidRDefault="00487AB0" w:rsidP="00D05E23">
      <w:pPr>
        <w:spacing w:after="160"/>
      </w:pPr>
      <w:r w:rsidRPr="004650FD">
        <w:t>Table 1 outlines the rationale for each objective and possible supporting activities. The</w:t>
      </w:r>
      <w:r w:rsidR="00102489" w:rsidRPr="004650FD">
        <w:t xml:space="preserve"> activities for each objective </w:t>
      </w:r>
      <w:r w:rsidR="00BA3DB6" w:rsidRPr="004650FD">
        <w:t>are</w:t>
      </w:r>
      <w:r w:rsidR="00102489" w:rsidRPr="004650FD">
        <w:t xml:space="preserve"> flexible and targeted</w:t>
      </w:r>
      <w:r w:rsidR="002829B7" w:rsidRPr="004650FD">
        <w:t>,</w:t>
      </w:r>
      <w:r w:rsidR="00102489" w:rsidRPr="004650FD">
        <w:t xml:space="preserve"> based on ACT specific data and experience. </w:t>
      </w:r>
    </w:p>
    <w:p w14:paraId="2120CBB3" w14:textId="378DCA6B" w:rsidR="00644BBF" w:rsidRPr="005A50A9" w:rsidRDefault="00644BBF" w:rsidP="00F22725">
      <w:pPr>
        <w:keepNext/>
        <w:spacing w:after="160"/>
        <w:rPr>
          <w:b/>
          <w:bCs/>
        </w:rPr>
      </w:pPr>
      <w:r w:rsidRPr="005A50A9">
        <w:rPr>
          <w:b/>
          <w:bCs/>
        </w:rPr>
        <w:lastRenderedPageBreak/>
        <w:t>Table 1: Rationale and possible activities to support key objectives</w:t>
      </w:r>
    </w:p>
    <w:tbl>
      <w:tblPr>
        <w:tblStyle w:val="TableGrid"/>
        <w:tblW w:w="0" w:type="auto"/>
        <w:tblLook w:val="04A0" w:firstRow="1" w:lastRow="0" w:firstColumn="1" w:lastColumn="0" w:noHBand="0" w:noVBand="1"/>
      </w:tblPr>
      <w:tblGrid>
        <w:gridCol w:w="489"/>
        <w:gridCol w:w="2341"/>
        <w:gridCol w:w="3691"/>
        <w:gridCol w:w="4015"/>
      </w:tblGrid>
      <w:tr w:rsidR="00B157CE" w:rsidRPr="004650FD" w14:paraId="26BE0870" w14:textId="3DED745A" w:rsidTr="00B157CE">
        <w:trPr>
          <w:tblHeader/>
        </w:trPr>
        <w:tc>
          <w:tcPr>
            <w:tcW w:w="489" w:type="dxa"/>
            <w:tcBorders>
              <w:top w:val="nil"/>
              <w:left w:val="nil"/>
            </w:tcBorders>
            <w:vAlign w:val="center"/>
          </w:tcPr>
          <w:p w14:paraId="35FD76F0" w14:textId="77777777" w:rsidR="007B1F1D" w:rsidRPr="004650FD" w:rsidRDefault="007B1F1D" w:rsidP="00F41FD8">
            <w:pPr>
              <w:spacing w:before="80" w:after="80" w:line="240" w:lineRule="auto"/>
              <w:rPr>
                <w:b/>
                <w:bCs/>
                <w:color w:val="FFFFFF" w:themeColor="background1"/>
              </w:rPr>
            </w:pPr>
          </w:p>
        </w:tc>
        <w:tc>
          <w:tcPr>
            <w:tcW w:w="2341" w:type="dxa"/>
            <w:shd w:val="clear" w:color="auto" w:fill="00B050"/>
            <w:vAlign w:val="center"/>
          </w:tcPr>
          <w:p w14:paraId="57C8B1B9" w14:textId="21623462" w:rsidR="007B1F1D" w:rsidRPr="004650FD" w:rsidRDefault="007B1F1D" w:rsidP="00F41FD8">
            <w:pPr>
              <w:spacing w:before="80" w:after="80" w:line="240" w:lineRule="auto"/>
              <w:rPr>
                <w:b/>
                <w:bCs/>
                <w:color w:val="FFFFFF" w:themeColor="background1"/>
              </w:rPr>
            </w:pPr>
            <w:r w:rsidRPr="004650FD">
              <w:rPr>
                <w:b/>
                <w:bCs/>
                <w:color w:val="FFFFFF" w:themeColor="background1"/>
              </w:rPr>
              <w:t>Objective</w:t>
            </w:r>
          </w:p>
        </w:tc>
        <w:tc>
          <w:tcPr>
            <w:tcW w:w="3691" w:type="dxa"/>
            <w:shd w:val="clear" w:color="auto" w:fill="00B050"/>
            <w:vAlign w:val="center"/>
          </w:tcPr>
          <w:p w14:paraId="4956EC8F" w14:textId="5C378710" w:rsidR="007B1F1D" w:rsidRPr="004650FD" w:rsidRDefault="00D22FF9" w:rsidP="00F41FD8">
            <w:pPr>
              <w:spacing w:before="80" w:after="80" w:line="240" w:lineRule="auto"/>
              <w:rPr>
                <w:b/>
                <w:bCs/>
                <w:color w:val="FFFFFF" w:themeColor="background1"/>
              </w:rPr>
            </w:pPr>
            <w:r w:rsidRPr="004650FD">
              <w:rPr>
                <w:b/>
                <w:bCs/>
                <w:color w:val="FFFFFF" w:themeColor="background1"/>
              </w:rPr>
              <w:t>Rationale</w:t>
            </w:r>
          </w:p>
        </w:tc>
        <w:tc>
          <w:tcPr>
            <w:tcW w:w="4015" w:type="dxa"/>
            <w:shd w:val="clear" w:color="auto" w:fill="00B050"/>
            <w:vAlign w:val="center"/>
          </w:tcPr>
          <w:p w14:paraId="5995675A" w14:textId="1CF5E533" w:rsidR="007B1F1D" w:rsidRPr="004650FD" w:rsidRDefault="00D22FF9" w:rsidP="00F41FD8">
            <w:pPr>
              <w:spacing w:before="80" w:after="80" w:line="240" w:lineRule="auto"/>
              <w:rPr>
                <w:b/>
                <w:bCs/>
                <w:color w:val="FFFFFF" w:themeColor="background1"/>
              </w:rPr>
            </w:pPr>
            <w:r w:rsidRPr="004650FD">
              <w:rPr>
                <w:b/>
                <w:bCs/>
                <w:color w:val="FFFFFF" w:themeColor="background1"/>
              </w:rPr>
              <w:t>Possible activities</w:t>
            </w:r>
          </w:p>
        </w:tc>
      </w:tr>
      <w:tr w:rsidR="007B1F1D" w:rsidRPr="004650FD" w14:paraId="64AF6B36" w14:textId="53AACC8C" w:rsidTr="008D53A1">
        <w:tc>
          <w:tcPr>
            <w:tcW w:w="489" w:type="dxa"/>
            <w:vAlign w:val="center"/>
          </w:tcPr>
          <w:p w14:paraId="61024C74" w14:textId="5F3882D3" w:rsidR="007B1F1D" w:rsidRPr="004650FD" w:rsidRDefault="007B1F1D" w:rsidP="00F41FD8">
            <w:pPr>
              <w:spacing w:before="80" w:after="80"/>
              <w:rPr>
                <w:b/>
                <w:bCs/>
              </w:rPr>
            </w:pPr>
            <w:r w:rsidRPr="004650FD">
              <w:rPr>
                <w:b/>
                <w:bCs/>
              </w:rPr>
              <w:t>1.</w:t>
            </w:r>
          </w:p>
        </w:tc>
        <w:tc>
          <w:tcPr>
            <w:tcW w:w="2341" w:type="dxa"/>
            <w:vAlign w:val="center"/>
          </w:tcPr>
          <w:p w14:paraId="2BA49427" w14:textId="7509EC3C" w:rsidR="00AF0035" w:rsidRPr="004650FD" w:rsidRDefault="00157310" w:rsidP="00F41FD8">
            <w:pPr>
              <w:spacing w:before="80" w:after="80"/>
            </w:pPr>
            <w:r w:rsidRPr="004650FD">
              <w:t xml:space="preserve">Increase awareness of the complex nature of musculoskeletal disorders. </w:t>
            </w:r>
          </w:p>
        </w:tc>
        <w:tc>
          <w:tcPr>
            <w:tcW w:w="3691" w:type="dxa"/>
            <w:vAlign w:val="center"/>
          </w:tcPr>
          <w:p w14:paraId="579C33BD" w14:textId="218656E8" w:rsidR="000D686B" w:rsidRPr="004650FD" w:rsidRDefault="000D686B" w:rsidP="00F41FD8">
            <w:pPr>
              <w:spacing w:before="80" w:after="80"/>
            </w:pPr>
          </w:p>
          <w:p w14:paraId="63D45AE2" w14:textId="42308AF9" w:rsidR="007B1F1D" w:rsidRPr="004650FD" w:rsidRDefault="00AF0035" w:rsidP="00F41FD8">
            <w:pPr>
              <w:spacing w:before="80" w:after="80"/>
            </w:pPr>
            <w:r w:rsidRPr="004650FD">
              <w:t>Stakeholder awareness of the interaction between physical, psychosocial, organisational, and personal risk factors will build knowledge of the obligations to manage the hazards that can lead to MSDs and drive improved health outcomes.</w:t>
            </w:r>
          </w:p>
        </w:tc>
        <w:tc>
          <w:tcPr>
            <w:tcW w:w="4015" w:type="dxa"/>
            <w:vAlign w:val="center"/>
          </w:tcPr>
          <w:p w14:paraId="7D11C566" w14:textId="1683CF7C" w:rsidR="000D686B" w:rsidRPr="004650FD" w:rsidRDefault="000D686B" w:rsidP="00F41FD8">
            <w:pPr>
              <w:spacing w:before="80" w:after="80"/>
            </w:pPr>
            <w:r w:rsidRPr="004650FD">
              <w:t>U</w:t>
            </w:r>
            <w:r w:rsidR="005A50A9">
              <w:t>se</w:t>
            </w:r>
            <w:r w:rsidRPr="004650FD">
              <w:t xml:space="preserve"> available </w:t>
            </w:r>
            <w:r w:rsidR="00B157CE" w:rsidRPr="004650FD">
              <w:t>communications</w:t>
            </w:r>
            <w:r w:rsidRPr="004650FD">
              <w:t xml:space="preserve"> platforms to optimise the access of information and practical tools and improve networking channels amongst stakeholders.</w:t>
            </w:r>
          </w:p>
          <w:p w14:paraId="60BADF45" w14:textId="2CDEDEB0" w:rsidR="00310368" w:rsidRPr="004650FD" w:rsidRDefault="007B1F1D" w:rsidP="00F41FD8">
            <w:pPr>
              <w:spacing w:before="80" w:after="80"/>
            </w:pPr>
            <w:r w:rsidRPr="004650FD">
              <w:t>Targeted engagement with</w:t>
            </w:r>
            <w:r w:rsidR="00310368" w:rsidRPr="004650FD">
              <w:t>:</w:t>
            </w:r>
          </w:p>
          <w:p w14:paraId="739947DD" w14:textId="069CCAC0" w:rsidR="00310368" w:rsidRPr="004650FD" w:rsidRDefault="007B1F1D" w:rsidP="00F41FD8">
            <w:pPr>
              <w:pStyle w:val="ListParagraph"/>
              <w:numPr>
                <w:ilvl w:val="0"/>
                <w:numId w:val="19"/>
              </w:numPr>
              <w:spacing w:before="80" w:after="80"/>
              <w:ind w:left="464"/>
              <w:contextualSpacing w:val="0"/>
            </w:pPr>
            <w:r w:rsidRPr="004650FD">
              <w:t xml:space="preserve">duty holders </w:t>
            </w:r>
            <w:r w:rsidR="00B157CE" w:rsidRPr="004650FD">
              <w:t>about</w:t>
            </w:r>
            <w:r w:rsidR="002829B7" w:rsidRPr="004650FD">
              <w:t xml:space="preserve"> manag</w:t>
            </w:r>
            <w:r w:rsidR="00B157CE" w:rsidRPr="004650FD">
              <w:t>ing the risks that lead to MSDs</w:t>
            </w:r>
            <w:r w:rsidR="00310368" w:rsidRPr="004650FD">
              <w:t>, and</w:t>
            </w:r>
          </w:p>
          <w:p w14:paraId="4B49F75A" w14:textId="3FC85540" w:rsidR="007B1F1D" w:rsidRPr="004650FD" w:rsidRDefault="00B157CE" w:rsidP="00F41FD8">
            <w:pPr>
              <w:pStyle w:val="ListParagraph"/>
              <w:numPr>
                <w:ilvl w:val="0"/>
                <w:numId w:val="19"/>
              </w:numPr>
              <w:spacing w:before="80" w:after="80"/>
              <w:ind w:left="464"/>
              <w:contextualSpacing w:val="0"/>
            </w:pPr>
            <w:r w:rsidRPr="004650FD">
              <w:t>g</w:t>
            </w:r>
            <w:r w:rsidR="007B1F1D" w:rsidRPr="004650FD">
              <w:t xml:space="preserve">eneral and </w:t>
            </w:r>
            <w:r w:rsidR="008061E1" w:rsidRPr="004650FD">
              <w:t>t</w:t>
            </w:r>
            <w:r w:rsidR="007B1F1D" w:rsidRPr="004650FD">
              <w:t xml:space="preserve">argeted </w:t>
            </w:r>
            <w:r w:rsidR="00D22FF9" w:rsidRPr="004650FD">
              <w:t xml:space="preserve">awareness </w:t>
            </w:r>
            <w:r w:rsidR="007B1F1D" w:rsidRPr="004650FD">
              <w:t>campaigns on:</w:t>
            </w:r>
          </w:p>
          <w:p w14:paraId="3B45A4FF" w14:textId="00B70F44" w:rsidR="007B1F1D" w:rsidRPr="004650FD" w:rsidRDefault="007B1F1D" w:rsidP="00F41FD8">
            <w:pPr>
              <w:pStyle w:val="ListParagraph"/>
              <w:numPr>
                <w:ilvl w:val="0"/>
                <w:numId w:val="20"/>
              </w:numPr>
              <w:spacing w:before="80" w:after="80"/>
              <w:ind w:left="1031"/>
              <w:contextualSpacing w:val="0"/>
            </w:pPr>
            <w:r w:rsidRPr="004650FD">
              <w:t>duties and obligations</w:t>
            </w:r>
            <w:r w:rsidR="00102489" w:rsidRPr="004650FD">
              <w:t>,</w:t>
            </w:r>
            <w:r w:rsidR="004F2EA9" w:rsidRPr="004650FD">
              <w:t xml:space="preserve"> and</w:t>
            </w:r>
          </w:p>
          <w:p w14:paraId="5A76036E" w14:textId="33CC042C" w:rsidR="007B1F1D" w:rsidRPr="004650FD" w:rsidRDefault="007B1F1D" w:rsidP="00F41FD8">
            <w:pPr>
              <w:pStyle w:val="ListParagraph"/>
              <w:numPr>
                <w:ilvl w:val="0"/>
                <w:numId w:val="20"/>
              </w:numPr>
              <w:spacing w:before="80" w:after="80"/>
              <w:ind w:left="1031"/>
              <w:contextualSpacing w:val="0"/>
            </w:pPr>
            <w:r w:rsidRPr="004650FD">
              <w:t>the role of WorkSafe ACT</w:t>
            </w:r>
            <w:r w:rsidR="004F2EA9" w:rsidRPr="004650FD">
              <w:t>.</w:t>
            </w:r>
          </w:p>
        </w:tc>
      </w:tr>
      <w:tr w:rsidR="007B1F1D" w:rsidRPr="004650FD" w14:paraId="2E12E8C1" w14:textId="7C6E745D" w:rsidTr="008D53A1">
        <w:trPr>
          <w:cantSplit/>
        </w:trPr>
        <w:tc>
          <w:tcPr>
            <w:tcW w:w="489" w:type="dxa"/>
            <w:vAlign w:val="center"/>
          </w:tcPr>
          <w:p w14:paraId="0663011F" w14:textId="65E29296" w:rsidR="007B1F1D" w:rsidRPr="004650FD" w:rsidRDefault="007B1F1D" w:rsidP="00F41FD8">
            <w:pPr>
              <w:spacing w:before="80" w:after="80"/>
              <w:rPr>
                <w:b/>
                <w:bCs/>
              </w:rPr>
            </w:pPr>
            <w:r w:rsidRPr="004650FD">
              <w:rPr>
                <w:b/>
                <w:bCs/>
              </w:rPr>
              <w:t>2.</w:t>
            </w:r>
          </w:p>
        </w:tc>
        <w:tc>
          <w:tcPr>
            <w:tcW w:w="2341" w:type="dxa"/>
            <w:vAlign w:val="center"/>
          </w:tcPr>
          <w:p w14:paraId="38B0F206" w14:textId="49BCF537" w:rsidR="007B1F1D" w:rsidRPr="004650FD" w:rsidRDefault="00157310" w:rsidP="00F41FD8">
            <w:pPr>
              <w:spacing w:before="80" w:after="80"/>
            </w:pPr>
            <w:r w:rsidRPr="004650FD">
              <w:t>Secure stakeholder commitment to prevent musculoskeletal disorders.</w:t>
            </w:r>
          </w:p>
        </w:tc>
        <w:tc>
          <w:tcPr>
            <w:tcW w:w="3691" w:type="dxa"/>
            <w:vAlign w:val="center"/>
          </w:tcPr>
          <w:p w14:paraId="7741B03C" w14:textId="3E8E5A1E" w:rsidR="007B1F1D" w:rsidRPr="004650FD" w:rsidRDefault="001426FF" w:rsidP="00F41FD8">
            <w:pPr>
              <w:spacing w:before="80" w:after="80"/>
            </w:pPr>
            <w:r w:rsidRPr="004650FD">
              <w:t xml:space="preserve">Sharing evidence-based research and best industry practices will mean stakeholders are equipped with practical ways </w:t>
            </w:r>
            <w:r w:rsidR="000D686B" w:rsidRPr="004650FD">
              <w:t>of achieving success in preventing MSD</w:t>
            </w:r>
            <w:r w:rsidR="00AF0035" w:rsidRPr="004650FD">
              <w:t>s</w:t>
            </w:r>
            <w:r w:rsidR="000D686B" w:rsidRPr="004650FD">
              <w:t>.</w:t>
            </w:r>
          </w:p>
        </w:tc>
        <w:tc>
          <w:tcPr>
            <w:tcW w:w="4015" w:type="dxa"/>
            <w:vAlign w:val="center"/>
          </w:tcPr>
          <w:p w14:paraId="5976F598" w14:textId="59BB9825" w:rsidR="00086C35" w:rsidRPr="004650FD" w:rsidRDefault="00086C35" w:rsidP="00F41FD8">
            <w:pPr>
              <w:spacing w:before="80" w:after="80"/>
            </w:pPr>
            <w:r w:rsidRPr="004650FD">
              <w:t xml:space="preserve">Collaboration with stakeholders including other WHS regulators, ACT government agencies, industry groups, non-government organisations and research bodies to: </w:t>
            </w:r>
          </w:p>
          <w:p w14:paraId="6437062E" w14:textId="67D2711C" w:rsidR="007B1F1D" w:rsidRPr="004650FD" w:rsidRDefault="00B157CE" w:rsidP="00F41FD8">
            <w:pPr>
              <w:pStyle w:val="ListParagraph"/>
              <w:numPr>
                <w:ilvl w:val="0"/>
                <w:numId w:val="19"/>
              </w:numPr>
              <w:spacing w:before="80" w:after="80"/>
              <w:ind w:left="464"/>
              <w:contextualSpacing w:val="0"/>
            </w:pPr>
            <w:r w:rsidRPr="004650FD">
              <w:t>p</w:t>
            </w:r>
            <w:r w:rsidR="0050142C" w:rsidRPr="004650FD">
              <w:t>romot</w:t>
            </w:r>
            <w:r w:rsidR="00086C35" w:rsidRPr="004650FD">
              <w:t>e</w:t>
            </w:r>
            <w:r w:rsidR="0050142C" w:rsidRPr="004650FD">
              <w:t xml:space="preserve"> existing resources</w:t>
            </w:r>
            <w:r w:rsidRPr="004650FD">
              <w:t>, and</w:t>
            </w:r>
          </w:p>
          <w:p w14:paraId="34731915" w14:textId="299A0CBD" w:rsidR="007A12BE" w:rsidRPr="004650FD" w:rsidRDefault="00B157CE" w:rsidP="00F41FD8">
            <w:pPr>
              <w:pStyle w:val="ListParagraph"/>
              <w:numPr>
                <w:ilvl w:val="0"/>
                <w:numId w:val="19"/>
              </w:numPr>
              <w:spacing w:before="80" w:after="80"/>
              <w:ind w:left="464"/>
              <w:contextualSpacing w:val="0"/>
            </w:pPr>
            <w:r w:rsidRPr="004650FD">
              <w:t>d</w:t>
            </w:r>
            <w:r w:rsidR="00086C35" w:rsidRPr="004650FD">
              <w:t>evelop</w:t>
            </w:r>
            <w:r w:rsidR="0050142C" w:rsidRPr="004650FD">
              <w:t xml:space="preserve"> and promot</w:t>
            </w:r>
            <w:r w:rsidR="00086C35" w:rsidRPr="004650FD">
              <w:t xml:space="preserve">e </w:t>
            </w:r>
            <w:r w:rsidR="0050142C" w:rsidRPr="004650FD">
              <w:t xml:space="preserve">resources </w:t>
            </w:r>
            <w:r w:rsidR="00086C35" w:rsidRPr="004650FD">
              <w:t xml:space="preserve">that will </w:t>
            </w:r>
            <w:r w:rsidR="0050142C" w:rsidRPr="004650FD">
              <w:t xml:space="preserve">support </w:t>
            </w:r>
            <w:r w:rsidR="00086C35" w:rsidRPr="004650FD">
              <w:t>PCBUS</w:t>
            </w:r>
            <w:r w:rsidR="002829B7" w:rsidRPr="004650FD">
              <w:t>, understanding and ability</w:t>
            </w:r>
            <w:r w:rsidR="00086C35" w:rsidRPr="004650FD">
              <w:t xml:space="preserve"> to manage MSD hazards</w:t>
            </w:r>
            <w:r w:rsidR="009A757E" w:rsidRPr="004650FD">
              <w:t>.</w:t>
            </w:r>
            <w:r w:rsidR="00EB50FA" w:rsidRPr="004650FD">
              <w:t xml:space="preserve"> </w:t>
            </w:r>
          </w:p>
        </w:tc>
      </w:tr>
      <w:tr w:rsidR="007B1F1D" w:rsidRPr="004650FD" w14:paraId="37E45D4C" w14:textId="3E9619DD" w:rsidTr="00D115FC">
        <w:trPr>
          <w:cantSplit/>
        </w:trPr>
        <w:tc>
          <w:tcPr>
            <w:tcW w:w="489" w:type="dxa"/>
            <w:vAlign w:val="center"/>
          </w:tcPr>
          <w:p w14:paraId="5EDC3B5F" w14:textId="0FC3905E" w:rsidR="007B1F1D" w:rsidRPr="004650FD" w:rsidRDefault="007B1F1D" w:rsidP="00F41FD8">
            <w:pPr>
              <w:spacing w:before="80" w:after="80"/>
              <w:rPr>
                <w:b/>
                <w:bCs/>
              </w:rPr>
            </w:pPr>
            <w:r w:rsidRPr="004650FD">
              <w:rPr>
                <w:b/>
                <w:bCs/>
              </w:rPr>
              <w:t>3.</w:t>
            </w:r>
          </w:p>
        </w:tc>
        <w:tc>
          <w:tcPr>
            <w:tcW w:w="2341" w:type="dxa"/>
            <w:vAlign w:val="center"/>
          </w:tcPr>
          <w:p w14:paraId="267810CD" w14:textId="5DBCD6A3" w:rsidR="007B1F1D" w:rsidRPr="004650FD" w:rsidRDefault="00157310" w:rsidP="00F41FD8">
            <w:pPr>
              <w:spacing w:before="80" w:after="80"/>
            </w:pPr>
            <w:r w:rsidRPr="004650FD">
              <w:t>Enforce compliance in the prevention of musculoskeletal disorders and workers’ compensation duties.</w:t>
            </w:r>
          </w:p>
        </w:tc>
        <w:tc>
          <w:tcPr>
            <w:tcW w:w="3691" w:type="dxa"/>
            <w:vAlign w:val="center"/>
          </w:tcPr>
          <w:p w14:paraId="67295665" w14:textId="2A9C9FCB" w:rsidR="00510CF6" w:rsidRPr="004650FD" w:rsidRDefault="00510CF6" w:rsidP="00F41FD8">
            <w:pPr>
              <w:spacing w:before="80" w:after="80"/>
            </w:pPr>
            <w:r w:rsidRPr="004650FD">
              <w:t xml:space="preserve">The ACT community has the right to expect that WHS breaches will be consistently enforced in line with WorkSafe ACT’s </w:t>
            </w:r>
            <w:r w:rsidRPr="004650FD">
              <w:rPr>
                <w:i/>
                <w:iCs/>
              </w:rPr>
              <w:t>Compliance and Enforcement Policy 2020-2024</w:t>
            </w:r>
            <w:r w:rsidRPr="004650FD">
              <w:t xml:space="preserve">. </w:t>
            </w:r>
          </w:p>
        </w:tc>
        <w:tc>
          <w:tcPr>
            <w:tcW w:w="4015" w:type="dxa"/>
            <w:vAlign w:val="center"/>
          </w:tcPr>
          <w:p w14:paraId="26E02ECA" w14:textId="05043D51" w:rsidR="007B1F1D" w:rsidRPr="004650FD" w:rsidRDefault="00EB50FA" w:rsidP="00F41FD8">
            <w:pPr>
              <w:pStyle w:val="ListParagraph"/>
              <w:numPr>
                <w:ilvl w:val="0"/>
                <w:numId w:val="19"/>
              </w:numPr>
              <w:spacing w:before="80" w:after="80"/>
              <w:ind w:left="464"/>
              <w:contextualSpacing w:val="0"/>
            </w:pPr>
            <w:r w:rsidRPr="004650FD">
              <w:t xml:space="preserve">Proactive </w:t>
            </w:r>
            <w:r w:rsidR="00510CF6" w:rsidRPr="004650FD">
              <w:t>compliance and enforcement campaigns.</w:t>
            </w:r>
          </w:p>
          <w:p w14:paraId="4EE4DF5C" w14:textId="77777777" w:rsidR="00510CF6" w:rsidRPr="004650FD" w:rsidRDefault="00510CF6" w:rsidP="00F41FD8">
            <w:pPr>
              <w:pStyle w:val="ListParagraph"/>
              <w:numPr>
                <w:ilvl w:val="0"/>
                <w:numId w:val="19"/>
              </w:numPr>
              <w:spacing w:before="80" w:after="80"/>
              <w:ind w:left="464"/>
              <w:contextualSpacing w:val="0"/>
            </w:pPr>
            <w:r w:rsidRPr="004650FD">
              <w:t>Full use of compliance tools, including:</w:t>
            </w:r>
          </w:p>
          <w:p w14:paraId="42757C21" w14:textId="16D1FA27" w:rsidR="00510CF6" w:rsidRPr="004650FD" w:rsidRDefault="00310368" w:rsidP="00F41FD8">
            <w:pPr>
              <w:pStyle w:val="ListParagraph"/>
              <w:numPr>
                <w:ilvl w:val="0"/>
                <w:numId w:val="20"/>
              </w:numPr>
              <w:spacing w:before="80" w:after="80"/>
              <w:ind w:left="1031"/>
              <w:contextualSpacing w:val="0"/>
            </w:pPr>
            <w:r w:rsidRPr="004650FD">
              <w:t>providing</w:t>
            </w:r>
            <w:r w:rsidR="00510CF6" w:rsidRPr="004650FD">
              <w:t xml:space="preserve"> advice on compliance</w:t>
            </w:r>
          </w:p>
          <w:p w14:paraId="5D15E81E" w14:textId="758A2CD6" w:rsidR="00510CF6" w:rsidRPr="004650FD" w:rsidRDefault="00310368" w:rsidP="00F41FD8">
            <w:pPr>
              <w:pStyle w:val="ListParagraph"/>
              <w:numPr>
                <w:ilvl w:val="0"/>
                <w:numId w:val="20"/>
              </w:numPr>
              <w:spacing w:before="80" w:after="80"/>
              <w:ind w:left="1031"/>
              <w:contextualSpacing w:val="0"/>
            </w:pPr>
            <w:r w:rsidRPr="004650FD">
              <w:t>i</w:t>
            </w:r>
            <w:r w:rsidR="00510CF6" w:rsidRPr="004650FD">
              <w:t xml:space="preserve">ssuing </w:t>
            </w:r>
            <w:r w:rsidRPr="004650FD">
              <w:t>Notices, and</w:t>
            </w:r>
          </w:p>
          <w:p w14:paraId="1F6B07F5" w14:textId="51A17FAB" w:rsidR="00AC3F0A" w:rsidRPr="004650FD" w:rsidRDefault="00310368" w:rsidP="00F41FD8">
            <w:pPr>
              <w:pStyle w:val="ListParagraph"/>
              <w:numPr>
                <w:ilvl w:val="0"/>
                <w:numId w:val="20"/>
              </w:numPr>
              <w:spacing w:before="80" w:after="80"/>
              <w:ind w:left="1031"/>
              <w:contextualSpacing w:val="0"/>
            </w:pPr>
            <w:r w:rsidRPr="004650FD">
              <w:t>c</w:t>
            </w:r>
            <w:r w:rsidR="00510CF6" w:rsidRPr="004650FD">
              <w:t xml:space="preserve">ommencing </w:t>
            </w:r>
            <w:r w:rsidR="00EA0CD0" w:rsidRPr="004650FD">
              <w:t>prosecution</w:t>
            </w:r>
            <w:r w:rsidRPr="004650FD">
              <w:t>s</w:t>
            </w:r>
            <w:r w:rsidR="00AC3F0A" w:rsidRPr="004650FD">
              <w:t>.</w:t>
            </w:r>
          </w:p>
        </w:tc>
      </w:tr>
      <w:tr w:rsidR="007B1F1D" w:rsidRPr="004650FD" w14:paraId="53C5FE57" w14:textId="681CFF38" w:rsidTr="00086C35">
        <w:trPr>
          <w:trHeight w:val="1381"/>
        </w:trPr>
        <w:tc>
          <w:tcPr>
            <w:tcW w:w="489" w:type="dxa"/>
            <w:vAlign w:val="center"/>
          </w:tcPr>
          <w:p w14:paraId="14CD8FE8" w14:textId="329B1D1F" w:rsidR="007B1F1D" w:rsidRPr="004650FD" w:rsidRDefault="007B1F1D" w:rsidP="00F41FD8">
            <w:pPr>
              <w:spacing w:before="80" w:after="80"/>
              <w:rPr>
                <w:b/>
                <w:bCs/>
              </w:rPr>
            </w:pPr>
            <w:r w:rsidRPr="004650FD">
              <w:rPr>
                <w:b/>
                <w:bCs/>
              </w:rPr>
              <w:t>4.</w:t>
            </w:r>
          </w:p>
        </w:tc>
        <w:tc>
          <w:tcPr>
            <w:tcW w:w="2341" w:type="dxa"/>
            <w:vAlign w:val="center"/>
          </w:tcPr>
          <w:p w14:paraId="4EDC0912" w14:textId="5B84929F" w:rsidR="007B1F1D" w:rsidRPr="004650FD" w:rsidRDefault="007B1F1D" w:rsidP="00F41FD8">
            <w:pPr>
              <w:spacing w:before="80" w:after="80"/>
            </w:pPr>
            <w:r w:rsidRPr="004650FD">
              <w:t>Build WorkSafe ACT</w:t>
            </w:r>
            <w:r w:rsidR="00310368" w:rsidRPr="004650FD">
              <w:t>’s</w:t>
            </w:r>
            <w:r w:rsidRPr="004650FD">
              <w:t xml:space="preserve"> capability and capacity as a responsive regulator</w:t>
            </w:r>
            <w:r w:rsidR="001426FF" w:rsidRPr="004650FD">
              <w:t>.</w:t>
            </w:r>
          </w:p>
        </w:tc>
        <w:tc>
          <w:tcPr>
            <w:tcW w:w="3691" w:type="dxa"/>
            <w:vAlign w:val="center"/>
          </w:tcPr>
          <w:p w14:paraId="6A54D6EC" w14:textId="5545741C" w:rsidR="007B1F1D" w:rsidRPr="004650FD" w:rsidRDefault="00AC33B3" w:rsidP="00F41FD8">
            <w:pPr>
              <w:spacing w:before="80" w:after="80"/>
            </w:pPr>
            <w:r w:rsidRPr="004650FD">
              <w:t xml:space="preserve">WorkSafe ACT </w:t>
            </w:r>
            <w:r w:rsidR="005A50A9">
              <w:t>needs</w:t>
            </w:r>
            <w:r w:rsidRPr="004650FD">
              <w:t xml:space="preserve"> the appropriate </w:t>
            </w:r>
            <w:r w:rsidR="00310368" w:rsidRPr="004650FD">
              <w:t>capability</w:t>
            </w:r>
            <w:r w:rsidRPr="004650FD">
              <w:t xml:space="preserve"> and </w:t>
            </w:r>
            <w:r w:rsidR="00310368" w:rsidRPr="004650FD">
              <w:t>infrastructure</w:t>
            </w:r>
            <w:r w:rsidRPr="004650FD">
              <w:t xml:space="preserve"> to deliver the stated objectives.</w:t>
            </w:r>
          </w:p>
        </w:tc>
        <w:tc>
          <w:tcPr>
            <w:tcW w:w="4015" w:type="dxa"/>
            <w:vAlign w:val="center"/>
          </w:tcPr>
          <w:p w14:paraId="3B77F08B" w14:textId="7266C38D" w:rsidR="00AC3F0A" w:rsidRPr="004650FD" w:rsidRDefault="005A50A9" w:rsidP="005A50A9">
            <w:pPr>
              <w:pStyle w:val="ListParagraph"/>
              <w:numPr>
                <w:ilvl w:val="0"/>
                <w:numId w:val="19"/>
              </w:numPr>
              <w:spacing w:before="80" w:after="80"/>
              <w:ind w:left="464"/>
              <w:contextualSpacing w:val="0"/>
            </w:pPr>
            <w:r>
              <w:t>B</w:t>
            </w:r>
            <w:r w:rsidR="00E67209" w:rsidRPr="004650FD">
              <w:t xml:space="preserve">road inspectorate </w:t>
            </w:r>
            <w:r w:rsidR="00310368" w:rsidRPr="004650FD">
              <w:t>training to improve</w:t>
            </w:r>
            <w:r w:rsidR="00AC33B3" w:rsidRPr="004650FD">
              <w:t xml:space="preserve"> technical knowledge and skills </w:t>
            </w:r>
            <w:r>
              <w:t>about the prevention of MSDs</w:t>
            </w:r>
            <w:r w:rsidR="009A757E" w:rsidRPr="004650FD">
              <w:t>.</w:t>
            </w:r>
          </w:p>
        </w:tc>
      </w:tr>
    </w:tbl>
    <w:p w14:paraId="1B575F40" w14:textId="2C394124" w:rsidR="008948F2" w:rsidRPr="004650FD" w:rsidRDefault="00C87AD7" w:rsidP="00D05E23">
      <w:pPr>
        <w:pStyle w:val="Heading2"/>
        <w:spacing w:after="160"/>
      </w:pPr>
      <w:r w:rsidRPr="004650FD">
        <w:t xml:space="preserve">PRIORITy </w:t>
      </w:r>
      <w:r w:rsidR="006C35AD" w:rsidRPr="004650FD">
        <w:t>HAZARDS</w:t>
      </w:r>
      <w:r w:rsidR="002A3683" w:rsidRPr="004650FD">
        <w:t>,</w:t>
      </w:r>
      <w:r w:rsidR="006C35AD" w:rsidRPr="004650FD">
        <w:t xml:space="preserve"> </w:t>
      </w:r>
      <w:r w:rsidRPr="004650FD">
        <w:t>industries</w:t>
      </w:r>
      <w:r w:rsidR="00486C05">
        <w:t>, OCCUPATIONS,</w:t>
      </w:r>
      <w:r w:rsidRPr="004650FD">
        <w:t xml:space="preserve"> and work groups</w:t>
      </w:r>
    </w:p>
    <w:p w14:paraId="335B00F9" w14:textId="754E0008" w:rsidR="006C35AD" w:rsidRPr="004650FD" w:rsidRDefault="00BA3DB6" w:rsidP="00D05E23">
      <w:pPr>
        <w:spacing w:after="160"/>
      </w:pPr>
      <w:r w:rsidRPr="004650FD">
        <w:t>Priority hazards, industries</w:t>
      </w:r>
      <w:r w:rsidR="00486C05">
        <w:t xml:space="preserve">, occupations, </w:t>
      </w:r>
      <w:r w:rsidRPr="004650FD">
        <w:t xml:space="preserve">and work groups for the Strategy are identified through </w:t>
      </w:r>
      <w:r w:rsidR="0013039C">
        <w:t xml:space="preserve">analysis of </w:t>
      </w:r>
      <w:r w:rsidR="0013309F" w:rsidRPr="004650FD">
        <w:t>Safe Work Australia Reports, ACT private sector workers’ compensation claims</w:t>
      </w:r>
      <w:r w:rsidR="00066384">
        <w:t xml:space="preserve"> data</w:t>
      </w:r>
      <w:r w:rsidR="00EF6104" w:rsidRPr="004650FD">
        <w:t xml:space="preserve">, </w:t>
      </w:r>
      <w:r w:rsidR="006C35AD" w:rsidRPr="004650FD">
        <w:t>Salesforce</w:t>
      </w:r>
      <w:r w:rsidRPr="004650FD">
        <w:t xml:space="preserve"> (WorkSafe ACT’s case management system),</w:t>
      </w:r>
      <w:r w:rsidR="006C35AD" w:rsidRPr="004650FD">
        <w:t xml:space="preserve"> investigations</w:t>
      </w:r>
      <w:r w:rsidR="00EF6104" w:rsidRPr="004650FD">
        <w:t>,</w:t>
      </w:r>
      <w:r w:rsidR="006C35AD" w:rsidRPr="004650FD">
        <w:t xml:space="preserve"> and </w:t>
      </w:r>
      <w:r w:rsidRPr="004650FD">
        <w:t xml:space="preserve">stakeholder </w:t>
      </w:r>
      <w:r w:rsidR="006C35AD" w:rsidRPr="004650FD">
        <w:t>feedback</w:t>
      </w:r>
      <w:r w:rsidRPr="004650FD">
        <w:t>.</w:t>
      </w:r>
    </w:p>
    <w:p w14:paraId="3FE18B03" w14:textId="1D08EF07" w:rsidR="00BA3DB6" w:rsidRPr="005A50A9" w:rsidRDefault="00BA3DB6" w:rsidP="00D05E23">
      <w:pPr>
        <w:pStyle w:val="Heading3"/>
        <w:spacing w:after="160"/>
        <w:rPr>
          <w:rFonts w:ascii="Raleway" w:hAnsi="Raleway"/>
          <w:color w:val="00A841" w:themeColor="accent1"/>
        </w:rPr>
      </w:pPr>
      <w:r w:rsidRPr="005A50A9">
        <w:rPr>
          <w:rFonts w:ascii="Raleway" w:hAnsi="Raleway"/>
          <w:color w:val="00A841" w:themeColor="accent1"/>
        </w:rPr>
        <w:lastRenderedPageBreak/>
        <w:t>hazards</w:t>
      </w:r>
    </w:p>
    <w:p w14:paraId="21DEE573" w14:textId="010418BC" w:rsidR="00D115FC" w:rsidRDefault="00D115FC" w:rsidP="00D05E23">
      <w:pPr>
        <w:spacing w:after="160"/>
      </w:pPr>
      <w:r w:rsidRPr="00D115FC">
        <w:t>The most common hazard likely to cause MSDs is lifting heavy or bulky loads</w:t>
      </w:r>
      <w:r w:rsidR="00086C35" w:rsidRPr="00D115FC">
        <w:t>.</w:t>
      </w:r>
      <w:r w:rsidRPr="00D115FC">
        <w:t xml:space="preserve"> Rep</w:t>
      </w:r>
      <w:r>
        <w:t>e</w:t>
      </w:r>
      <w:r w:rsidRPr="00D115FC">
        <w:t xml:space="preserve">titive work, reaching, </w:t>
      </w:r>
      <w:proofErr w:type="gramStart"/>
      <w:r w:rsidRPr="00D115FC">
        <w:t>twisting</w:t>
      </w:r>
      <w:proofErr w:type="gramEnd"/>
      <w:r w:rsidRPr="00D115FC">
        <w:t xml:space="preserve"> or working in small spaces also pose risks of MSDs.</w:t>
      </w:r>
    </w:p>
    <w:p w14:paraId="4886D2C7" w14:textId="3A3C0D13" w:rsidR="006A3938" w:rsidRPr="005A50A9" w:rsidRDefault="00BA3DB6" w:rsidP="00066384">
      <w:pPr>
        <w:pStyle w:val="Heading3"/>
        <w:spacing w:after="160"/>
        <w:rPr>
          <w:rFonts w:ascii="Raleway" w:hAnsi="Raleway"/>
          <w:color w:val="00A841" w:themeColor="accent1"/>
        </w:rPr>
      </w:pPr>
      <w:bookmarkStart w:id="3" w:name="_Hlk96782723"/>
      <w:r w:rsidRPr="005A50A9">
        <w:rPr>
          <w:rFonts w:ascii="Raleway" w:hAnsi="Raleway"/>
          <w:color w:val="00A841" w:themeColor="accent1"/>
        </w:rPr>
        <w:t>industries</w:t>
      </w:r>
      <w:r w:rsidR="000272C9" w:rsidRPr="005A50A9">
        <w:rPr>
          <w:rFonts w:ascii="Raleway" w:hAnsi="Raleway"/>
          <w:color w:val="00A841" w:themeColor="accent1"/>
        </w:rPr>
        <w:t xml:space="preserve"> </w:t>
      </w:r>
      <w:bookmarkEnd w:id="3"/>
    </w:p>
    <w:p w14:paraId="5BCD5726" w14:textId="54C99205" w:rsidR="00936BB5" w:rsidRPr="004650FD" w:rsidRDefault="00787391" w:rsidP="00D05E23">
      <w:pPr>
        <w:spacing w:after="160"/>
        <w:rPr>
          <w:sz w:val="24"/>
          <w:szCs w:val="24"/>
        </w:rPr>
      </w:pPr>
      <w:r w:rsidRPr="00066384">
        <w:t>MSDs</w:t>
      </w:r>
      <w:r w:rsidR="003F4CE5" w:rsidRPr="00066384">
        <w:t xml:space="preserve"> are prevalent in all </w:t>
      </w:r>
      <w:r w:rsidR="00B157CE" w:rsidRPr="00066384">
        <w:t>industries.</w:t>
      </w:r>
      <w:r w:rsidR="003F4CE5" w:rsidRPr="00066384">
        <w:t xml:space="preserve"> </w:t>
      </w:r>
      <w:r w:rsidR="00B157CE" w:rsidRPr="00066384">
        <w:t>H</w:t>
      </w:r>
      <w:r w:rsidR="003F4CE5" w:rsidRPr="00066384">
        <w:t>owever</w:t>
      </w:r>
      <w:r w:rsidR="00B157CE" w:rsidRPr="00066384">
        <w:t>,</w:t>
      </w:r>
      <w:r w:rsidR="00D05E23" w:rsidRPr="00066384">
        <w:t xml:space="preserve"> at the national level</w:t>
      </w:r>
      <w:r w:rsidR="00066384">
        <w:t>,</w:t>
      </w:r>
      <w:r w:rsidR="00D05E23" w:rsidRPr="00066384">
        <w:t xml:space="preserve"> </w:t>
      </w:r>
      <w:r w:rsidR="003F4CE5" w:rsidRPr="00066384">
        <w:t>the</w:t>
      </w:r>
      <w:r w:rsidR="00936BB5" w:rsidRPr="00066384">
        <w:t xml:space="preserve"> industries with the highest </w:t>
      </w:r>
      <w:r w:rsidR="00F22725">
        <w:t xml:space="preserve">national </w:t>
      </w:r>
      <w:r w:rsidR="00936BB5" w:rsidRPr="00066384">
        <w:t xml:space="preserve">MSD claim frequency rates are </w:t>
      </w:r>
      <w:r w:rsidR="00744CA3">
        <w:t>healthcare</w:t>
      </w:r>
      <w:r w:rsidR="003F4CE5" w:rsidRPr="00066384">
        <w:t xml:space="preserve"> and </w:t>
      </w:r>
      <w:r w:rsidR="00FB323D">
        <w:t>s</w:t>
      </w:r>
      <w:r w:rsidR="003F4CE5" w:rsidRPr="00066384">
        <w:t xml:space="preserve">ocial </w:t>
      </w:r>
      <w:r w:rsidR="00FB323D">
        <w:t>a</w:t>
      </w:r>
      <w:r w:rsidR="003F4CE5" w:rsidRPr="00066384">
        <w:t>ssistance</w:t>
      </w:r>
      <w:r w:rsidR="00066384">
        <w:t xml:space="preserve"> (</w:t>
      </w:r>
      <w:r w:rsidR="005D3F64">
        <w:t>7.1</w:t>
      </w:r>
      <w:r w:rsidR="00066384">
        <w:t xml:space="preserve">), </w:t>
      </w:r>
      <w:r w:rsidR="00FB323D">
        <w:t>t</w:t>
      </w:r>
      <w:r w:rsidR="00DC6C2A" w:rsidRPr="00066384">
        <w:t>r</w:t>
      </w:r>
      <w:r w:rsidR="000B1B7A" w:rsidRPr="00066384">
        <w:t xml:space="preserve">ansport, </w:t>
      </w:r>
      <w:r w:rsidR="00FB323D">
        <w:t>p</w:t>
      </w:r>
      <w:r w:rsidR="000B1B7A" w:rsidRPr="00066384">
        <w:t xml:space="preserve">ostal and </w:t>
      </w:r>
      <w:r w:rsidR="00FB323D">
        <w:t>w</w:t>
      </w:r>
      <w:r w:rsidR="000B1B7A" w:rsidRPr="00066384">
        <w:t>arehousing</w:t>
      </w:r>
      <w:r w:rsidR="00066384">
        <w:t xml:space="preserve"> (</w:t>
      </w:r>
      <w:r w:rsidR="005D3F64">
        <w:t>7.0</w:t>
      </w:r>
      <w:r w:rsidR="00066384">
        <w:t>)</w:t>
      </w:r>
      <w:r w:rsidR="000B1B7A" w:rsidRPr="00066384">
        <w:t xml:space="preserve">, </w:t>
      </w:r>
      <w:r w:rsidR="00FB323D">
        <w:t>m</w:t>
      </w:r>
      <w:r w:rsidR="001D77C8" w:rsidRPr="00066384">
        <w:t>anufacturing</w:t>
      </w:r>
      <w:r w:rsidR="00066384">
        <w:t xml:space="preserve"> (</w:t>
      </w:r>
      <w:r w:rsidR="005D3F64">
        <w:t>5.4</w:t>
      </w:r>
      <w:r w:rsidR="00066384">
        <w:t>)</w:t>
      </w:r>
      <w:r w:rsidR="00DC6C2A" w:rsidRPr="00066384">
        <w:t>,</w:t>
      </w:r>
      <w:r w:rsidR="000B1B7A" w:rsidRPr="00066384">
        <w:t xml:space="preserve"> and </w:t>
      </w:r>
      <w:r w:rsidR="00FB323D">
        <w:t>a</w:t>
      </w:r>
      <w:r w:rsidR="000B1B7A" w:rsidRPr="00066384">
        <w:t xml:space="preserve">griculture, </w:t>
      </w:r>
      <w:proofErr w:type="gramStart"/>
      <w:r w:rsidR="00FB323D">
        <w:t>f</w:t>
      </w:r>
      <w:r w:rsidR="000B1B7A" w:rsidRPr="00066384">
        <w:t>orestry</w:t>
      </w:r>
      <w:proofErr w:type="gramEnd"/>
      <w:r w:rsidR="000B1B7A" w:rsidRPr="00066384">
        <w:t xml:space="preserve"> and </w:t>
      </w:r>
      <w:r w:rsidR="00FB323D">
        <w:t>f</w:t>
      </w:r>
      <w:r w:rsidR="000B1B7A" w:rsidRPr="00066384">
        <w:t>ishing</w:t>
      </w:r>
      <w:r w:rsidR="00066384">
        <w:t xml:space="preserve"> (</w:t>
      </w:r>
      <w:r w:rsidR="005D3F64">
        <w:t>5.0</w:t>
      </w:r>
      <w:r w:rsidR="00066384">
        <w:t>)</w:t>
      </w:r>
      <w:r w:rsidRPr="00066384">
        <w:rPr>
          <w:rStyle w:val="FootnoteReference"/>
          <w:rFonts w:cs="Arial"/>
        </w:rPr>
        <w:footnoteReference w:id="14"/>
      </w:r>
      <w:r w:rsidR="00D115FC">
        <w:rPr>
          <w:vertAlign w:val="superscript"/>
        </w:rPr>
        <w:t xml:space="preserve">, </w:t>
      </w:r>
      <w:r w:rsidR="00D115FC">
        <w:rPr>
          <w:rStyle w:val="FootnoteReference"/>
        </w:rPr>
        <w:footnoteReference w:id="15"/>
      </w:r>
      <w:r w:rsidR="00D115FC">
        <w:t>.</w:t>
      </w:r>
      <w:r w:rsidR="00936BB5" w:rsidRPr="00066384">
        <w:t xml:space="preserve">  </w:t>
      </w:r>
      <w:r w:rsidR="00F22725">
        <w:t xml:space="preserve">The ACT’s workforce profile differs to the national profile with limited manufacturing, agriculture, </w:t>
      </w:r>
      <w:proofErr w:type="gramStart"/>
      <w:r w:rsidR="00F22725">
        <w:t>forestry</w:t>
      </w:r>
      <w:proofErr w:type="gramEnd"/>
      <w:r w:rsidR="00F22725">
        <w:t xml:space="preserve"> and fishing.</w:t>
      </w:r>
    </w:p>
    <w:p w14:paraId="351373B0" w14:textId="25048F90" w:rsidR="004307AC" w:rsidRDefault="00F22725" w:rsidP="00D115FC">
      <w:pPr>
        <w:keepNext/>
        <w:tabs>
          <w:tab w:val="left" w:pos="2070"/>
        </w:tabs>
        <w:spacing w:after="160"/>
        <w:rPr>
          <w:rFonts w:cs="Arial"/>
        </w:rPr>
      </w:pPr>
      <w:r>
        <w:rPr>
          <w:rFonts w:cs="Arial"/>
        </w:rPr>
        <w:t>In</w:t>
      </w:r>
      <w:r w:rsidR="001329BD" w:rsidRPr="0013039C">
        <w:rPr>
          <w:rFonts w:cs="Arial"/>
        </w:rPr>
        <w:t xml:space="preserve"> the ACT. </w:t>
      </w:r>
      <w:r>
        <w:rPr>
          <w:rFonts w:cs="Arial"/>
        </w:rPr>
        <w:t>t</w:t>
      </w:r>
      <w:r w:rsidR="001329BD" w:rsidRPr="0013039C">
        <w:rPr>
          <w:rFonts w:cs="Arial"/>
        </w:rPr>
        <w:t xml:space="preserve">he industries with the greatest number of </w:t>
      </w:r>
      <w:r w:rsidR="00642731">
        <w:rPr>
          <w:rFonts w:cs="Arial"/>
        </w:rPr>
        <w:t xml:space="preserve">accepted </w:t>
      </w:r>
      <w:r w:rsidR="00EE2D0A" w:rsidRPr="0013039C">
        <w:rPr>
          <w:rFonts w:cs="Arial"/>
        </w:rPr>
        <w:t xml:space="preserve">private sector </w:t>
      </w:r>
      <w:r w:rsidR="004307AC" w:rsidRPr="0013039C">
        <w:rPr>
          <w:rFonts w:cs="Arial"/>
        </w:rPr>
        <w:t xml:space="preserve">MSD claims between </w:t>
      </w:r>
      <w:r w:rsidR="00EE2D0A" w:rsidRPr="0013039C">
        <w:rPr>
          <w:rFonts w:cs="Arial"/>
        </w:rPr>
        <w:t>2017-18 and 2020-21</w:t>
      </w:r>
      <w:r w:rsidR="001329BD" w:rsidRPr="0013039C">
        <w:rPr>
          <w:rFonts w:cs="Arial"/>
        </w:rPr>
        <w:t xml:space="preserve"> </w:t>
      </w:r>
      <w:r w:rsidR="004307AC" w:rsidRPr="0013039C">
        <w:rPr>
          <w:rFonts w:cs="Arial"/>
        </w:rPr>
        <w:t>were</w:t>
      </w:r>
      <w:r w:rsidR="001329BD" w:rsidRPr="0013039C">
        <w:rPr>
          <w:rFonts w:cs="Arial"/>
        </w:rPr>
        <w:t xml:space="preserve">: </w:t>
      </w:r>
      <w:r w:rsidR="004307AC" w:rsidRPr="0013039C">
        <w:rPr>
          <w:rFonts w:cs="Arial"/>
        </w:rPr>
        <w:t xml:space="preserve"> </w:t>
      </w:r>
    </w:p>
    <w:p w14:paraId="5AE2C377" w14:textId="2D7FE67A" w:rsidR="00744CA3" w:rsidRPr="0013039C" w:rsidRDefault="00744CA3" w:rsidP="00D05E23">
      <w:pPr>
        <w:tabs>
          <w:tab w:val="left" w:pos="2070"/>
        </w:tabs>
        <w:spacing w:after="160"/>
        <w:rPr>
          <w:rFonts w:cs="Arial"/>
        </w:rPr>
      </w:pPr>
      <w:r>
        <w:rPr>
          <w:noProof/>
        </w:rPr>
        <w:drawing>
          <wp:inline distT="0" distB="0" distL="0" distR="0" wp14:anchorId="1EB99A95" wp14:editId="3774F713">
            <wp:extent cx="6696710" cy="2818765"/>
            <wp:effectExtent l="0" t="0" r="889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696710" cy="2818765"/>
                    </a:xfrm>
                    <a:prstGeom prst="rect">
                      <a:avLst/>
                    </a:prstGeom>
                  </pic:spPr>
                </pic:pic>
              </a:graphicData>
            </a:graphic>
          </wp:inline>
        </w:drawing>
      </w:r>
    </w:p>
    <w:p w14:paraId="1141EA1C" w14:textId="6065BDEA" w:rsidR="00D2726D" w:rsidRPr="00D236EE" w:rsidRDefault="00D2726D" w:rsidP="00D05E23">
      <w:pPr>
        <w:tabs>
          <w:tab w:val="left" w:pos="2070"/>
        </w:tabs>
        <w:spacing w:after="160"/>
        <w:rPr>
          <w:rFonts w:cs="Arial"/>
          <w:color w:val="auto"/>
        </w:rPr>
      </w:pPr>
      <w:r w:rsidRPr="00D236EE">
        <w:rPr>
          <w:rFonts w:cs="Arial"/>
          <w:color w:val="auto"/>
        </w:rPr>
        <w:t>Health</w:t>
      </w:r>
      <w:r w:rsidR="00FB323D" w:rsidRPr="00D236EE">
        <w:rPr>
          <w:rFonts w:cs="Arial"/>
          <w:color w:val="auto"/>
        </w:rPr>
        <w:t>c</w:t>
      </w:r>
      <w:r w:rsidRPr="00D236EE">
        <w:rPr>
          <w:rFonts w:cs="Arial"/>
          <w:color w:val="auto"/>
        </w:rPr>
        <w:t xml:space="preserve">are and </w:t>
      </w:r>
      <w:r w:rsidR="00FB323D" w:rsidRPr="00D236EE">
        <w:rPr>
          <w:rFonts w:cs="Arial"/>
          <w:color w:val="auto"/>
        </w:rPr>
        <w:t>s</w:t>
      </w:r>
      <w:r w:rsidRPr="00D236EE">
        <w:rPr>
          <w:rFonts w:cs="Arial"/>
          <w:color w:val="auto"/>
        </w:rPr>
        <w:t xml:space="preserve">ocial </w:t>
      </w:r>
      <w:r w:rsidR="00FB323D" w:rsidRPr="00D236EE">
        <w:rPr>
          <w:rFonts w:cs="Arial"/>
          <w:color w:val="auto"/>
        </w:rPr>
        <w:t>a</w:t>
      </w:r>
      <w:r w:rsidRPr="00D236EE">
        <w:rPr>
          <w:rFonts w:cs="Arial"/>
          <w:color w:val="auto"/>
        </w:rPr>
        <w:t xml:space="preserve">ssistance </w:t>
      </w:r>
      <w:r w:rsidR="004650FD" w:rsidRPr="00D236EE">
        <w:rPr>
          <w:rFonts w:cs="Arial"/>
          <w:color w:val="auto"/>
        </w:rPr>
        <w:t>(21%)</w:t>
      </w:r>
    </w:p>
    <w:p w14:paraId="280BCCC7" w14:textId="699EA7C6" w:rsidR="00DB4B35" w:rsidRPr="00D236EE" w:rsidRDefault="00D6519A" w:rsidP="00FD17E5">
      <w:pPr>
        <w:pStyle w:val="ListParagraph"/>
        <w:numPr>
          <w:ilvl w:val="0"/>
          <w:numId w:val="22"/>
        </w:numPr>
        <w:tabs>
          <w:tab w:val="left" w:pos="2070"/>
        </w:tabs>
        <w:rPr>
          <w:rFonts w:cs="Arial"/>
        </w:rPr>
      </w:pPr>
      <w:r w:rsidRPr="00D236EE">
        <w:rPr>
          <w:rFonts w:cs="Arial"/>
        </w:rPr>
        <w:t xml:space="preserve">Approximately </w:t>
      </w:r>
      <w:r w:rsidR="00EB78AB" w:rsidRPr="00D236EE">
        <w:rPr>
          <w:rFonts w:cs="Arial"/>
        </w:rPr>
        <w:t>11</w:t>
      </w:r>
      <w:r w:rsidR="002B56D9" w:rsidRPr="00D236EE">
        <w:rPr>
          <w:rFonts w:cs="Arial"/>
        </w:rPr>
        <w:t xml:space="preserve">% of workers in the ACT were employed in </w:t>
      </w:r>
      <w:r w:rsidR="00744CA3">
        <w:rPr>
          <w:rFonts w:cs="Arial"/>
        </w:rPr>
        <w:t>healthcare</w:t>
      </w:r>
      <w:r w:rsidR="002B56D9" w:rsidRPr="00D236EE">
        <w:rPr>
          <w:rFonts w:cs="Arial"/>
        </w:rPr>
        <w:t xml:space="preserve"> and </w:t>
      </w:r>
      <w:r w:rsidR="0038060E" w:rsidRPr="00D236EE">
        <w:rPr>
          <w:rFonts w:cs="Arial"/>
        </w:rPr>
        <w:t>s</w:t>
      </w:r>
      <w:r w:rsidR="002B56D9" w:rsidRPr="00D236EE">
        <w:rPr>
          <w:rFonts w:cs="Arial"/>
        </w:rPr>
        <w:t xml:space="preserve">ocial </w:t>
      </w:r>
      <w:r w:rsidR="0038060E" w:rsidRPr="00D236EE">
        <w:rPr>
          <w:rFonts w:cs="Arial"/>
        </w:rPr>
        <w:t>a</w:t>
      </w:r>
      <w:r w:rsidR="002B56D9" w:rsidRPr="00D236EE">
        <w:rPr>
          <w:rFonts w:cs="Arial"/>
        </w:rPr>
        <w:t xml:space="preserve">ssistance during this period. </w:t>
      </w:r>
    </w:p>
    <w:p w14:paraId="23115653" w14:textId="76A048E6" w:rsidR="00C53789" w:rsidRPr="00D236EE" w:rsidRDefault="0038060E" w:rsidP="00DB4B35">
      <w:pPr>
        <w:pStyle w:val="ListParagraph"/>
        <w:numPr>
          <w:ilvl w:val="0"/>
          <w:numId w:val="22"/>
        </w:numPr>
        <w:tabs>
          <w:tab w:val="left" w:pos="2070"/>
        </w:tabs>
        <w:rPr>
          <w:rFonts w:cs="Arial"/>
        </w:rPr>
      </w:pPr>
      <w:r w:rsidRPr="00D236EE">
        <w:rPr>
          <w:rFonts w:cs="Arial"/>
        </w:rPr>
        <w:t xml:space="preserve">Over </w:t>
      </w:r>
      <w:r w:rsidR="00FD17E5" w:rsidRPr="00D236EE">
        <w:rPr>
          <w:rFonts w:cs="Arial"/>
        </w:rPr>
        <w:t xml:space="preserve">70% of </w:t>
      </w:r>
      <w:r w:rsidR="00744CA3">
        <w:rPr>
          <w:rFonts w:cs="Arial"/>
        </w:rPr>
        <w:t>healthcare</w:t>
      </w:r>
      <w:r w:rsidR="004D34C1" w:rsidRPr="00D236EE">
        <w:rPr>
          <w:rFonts w:cs="Arial"/>
        </w:rPr>
        <w:t xml:space="preserve"> and </w:t>
      </w:r>
      <w:r w:rsidRPr="00D236EE">
        <w:rPr>
          <w:rFonts w:cs="Arial"/>
        </w:rPr>
        <w:t>s</w:t>
      </w:r>
      <w:r w:rsidR="004D34C1" w:rsidRPr="00D236EE">
        <w:rPr>
          <w:rFonts w:cs="Arial"/>
        </w:rPr>
        <w:t xml:space="preserve">ocial </w:t>
      </w:r>
      <w:r w:rsidRPr="00D236EE">
        <w:rPr>
          <w:rFonts w:cs="Arial"/>
        </w:rPr>
        <w:t>a</w:t>
      </w:r>
      <w:r w:rsidR="004D34C1" w:rsidRPr="00D236EE">
        <w:rPr>
          <w:rFonts w:cs="Arial"/>
        </w:rPr>
        <w:t xml:space="preserve">ssistance </w:t>
      </w:r>
      <w:r w:rsidR="00FD17E5" w:rsidRPr="00D236EE">
        <w:rPr>
          <w:rFonts w:cs="Arial"/>
        </w:rPr>
        <w:t xml:space="preserve">claims were concentrated in </w:t>
      </w:r>
      <w:r w:rsidR="00D236EE">
        <w:rPr>
          <w:rFonts w:cs="Arial"/>
        </w:rPr>
        <w:t xml:space="preserve">residential </w:t>
      </w:r>
      <w:r w:rsidRPr="00D236EE">
        <w:rPr>
          <w:rFonts w:cs="Arial"/>
        </w:rPr>
        <w:t>c</w:t>
      </w:r>
      <w:r w:rsidR="00FD17E5" w:rsidRPr="00D236EE">
        <w:rPr>
          <w:rFonts w:cs="Arial"/>
        </w:rPr>
        <w:t xml:space="preserve">are </w:t>
      </w:r>
      <w:r w:rsidRPr="00D236EE">
        <w:rPr>
          <w:rFonts w:cs="Arial"/>
        </w:rPr>
        <w:t>s</w:t>
      </w:r>
      <w:r w:rsidR="00FD17E5" w:rsidRPr="00D236EE">
        <w:rPr>
          <w:rFonts w:cs="Arial"/>
        </w:rPr>
        <w:t xml:space="preserve">ervices and </w:t>
      </w:r>
      <w:r w:rsidRPr="00D236EE">
        <w:rPr>
          <w:rFonts w:cs="Arial"/>
        </w:rPr>
        <w:t>s</w:t>
      </w:r>
      <w:r w:rsidR="00FD17E5" w:rsidRPr="00D236EE">
        <w:rPr>
          <w:rFonts w:cs="Arial"/>
        </w:rPr>
        <w:t xml:space="preserve">ocial </w:t>
      </w:r>
      <w:r w:rsidRPr="00D236EE">
        <w:rPr>
          <w:rFonts w:cs="Arial"/>
        </w:rPr>
        <w:t>a</w:t>
      </w:r>
      <w:r w:rsidR="00FD17E5" w:rsidRPr="00D236EE">
        <w:rPr>
          <w:rFonts w:cs="Arial"/>
        </w:rPr>
        <w:t xml:space="preserve">ssistance </w:t>
      </w:r>
      <w:r w:rsidRPr="00D236EE">
        <w:rPr>
          <w:rFonts w:cs="Arial"/>
        </w:rPr>
        <w:t>s</w:t>
      </w:r>
      <w:r w:rsidR="00FD17E5" w:rsidRPr="00D236EE">
        <w:rPr>
          <w:rFonts w:cs="Arial"/>
        </w:rPr>
        <w:t>ervices.</w:t>
      </w:r>
    </w:p>
    <w:p w14:paraId="7BFFC0B8" w14:textId="5DB6DA0B" w:rsidR="00FD17E5" w:rsidRPr="00D236EE" w:rsidRDefault="00D2726D" w:rsidP="00D05E23">
      <w:pPr>
        <w:tabs>
          <w:tab w:val="left" w:pos="2070"/>
        </w:tabs>
        <w:spacing w:after="160"/>
        <w:rPr>
          <w:rFonts w:cs="Arial"/>
          <w:color w:val="auto"/>
        </w:rPr>
      </w:pPr>
      <w:r w:rsidRPr="00D236EE">
        <w:rPr>
          <w:rFonts w:cs="Arial"/>
          <w:color w:val="auto"/>
        </w:rPr>
        <w:t xml:space="preserve">Construction </w:t>
      </w:r>
      <w:r w:rsidR="004650FD" w:rsidRPr="00D236EE">
        <w:rPr>
          <w:rFonts w:cs="Arial"/>
          <w:color w:val="auto"/>
        </w:rPr>
        <w:t>(1</w:t>
      </w:r>
      <w:r w:rsidR="001252B8" w:rsidRPr="00D236EE">
        <w:rPr>
          <w:rFonts w:cs="Arial"/>
          <w:color w:val="auto"/>
        </w:rPr>
        <w:t>9</w:t>
      </w:r>
      <w:r w:rsidR="004650FD" w:rsidRPr="00D236EE">
        <w:rPr>
          <w:rFonts w:cs="Arial"/>
          <w:color w:val="auto"/>
        </w:rPr>
        <w:t>%)</w:t>
      </w:r>
    </w:p>
    <w:p w14:paraId="179DDCE7" w14:textId="19D2D13D" w:rsidR="00C53789" w:rsidRPr="00D236EE" w:rsidRDefault="00EB78AB" w:rsidP="00C53789">
      <w:pPr>
        <w:pStyle w:val="ListParagraph"/>
        <w:numPr>
          <w:ilvl w:val="0"/>
          <w:numId w:val="22"/>
        </w:numPr>
        <w:shd w:val="clear" w:color="auto" w:fill="FFFFFF"/>
        <w:tabs>
          <w:tab w:val="left" w:pos="2070"/>
        </w:tabs>
        <w:spacing w:before="100" w:line="330" w:lineRule="atLeast"/>
        <w:rPr>
          <w:rFonts w:cs="Arial"/>
        </w:rPr>
      </w:pPr>
      <w:r w:rsidRPr="00D236EE">
        <w:rPr>
          <w:rFonts w:eastAsia="Times New Roman" w:cs="Calibri"/>
          <w:lang w:eastAsia="en-AU"/>
        </w:rPr>
        <w:t xml:space="preserve">Approximately </w:t>
      </w:r>
      <w:r w:rsidR="00C53789" w:rsidRPr="00D236EE">
        <w:rPr>
          <w:rFonts w:eastAsia="Times New Roman" w:cs="Calibri"/>
          <w:lang w:eastAsia="en-AU"/>
        </w:rPr>
        <w:t xml:space="preserve">7% of all ACT workers were employed in </w:t>
      </w:r>
      <w:r w:rsidR="001252B8" w:rsidRPr="00D236EE">
        <w:rPr>
          <w:rFonts w:eastAsia="Times New Roman" w:cs="Calibri"/>
          <w:lang w:eastAsia="en-AU"/>
        </w:rPr>
        <w:t>c</w:t>
      </w:r>
      <w:r w:rsidRPr="00D236EE">
        <w:rPr>
          <w:rFonts w:eastAsia="Times New Roman" w:cs="Calibri"/>
          <w:lang w:eastAsia="en-AU"/>
        </w:rPr>
        <w:t xml:space="preserve">onstruction </w:t>
      </w:r>
      <w:r w:rsidR="00C53789" w:rsidRPr="00D236EE">
        <w:rPr>
          <w:rFonts w:eastAsia="Times New Roman" w:cs="Calibri"/>
          <w:lang w:eastAsia="en-AU"/>
        </w:rPr>
        <w:t xml:space="preserve">during this period. </w:t>
      </w:r>
    </w:p>
    <w:p w14:paraId="596D8EE0" w14:textId="480AD59D" w:rsidR="0013039C" w:rsidRPr="00D236EE" w:rsidRDefault="00FB323D" w:rsidP="00742E93">
      <w:pPr>
        <w:pStyle w:val="ListParagraph"/>
        <w:numPr>
          <w:ilvl w:val="0"/>
          <w:numId w:val="22"/>
        </w:numPr>
        <w:shd w:val="clear" w:color="auto" w:fill="FFFFFF"/>
        <w:tabs>
          <w:tab w:val="left" w:pos="2070"/>
        </w:tabs>
        <w:spacing w:before="100" w:line="330" w:lineRule="atLeast"/>
        <w:rPr>
          <w:rFonts w:cs="Arial"/>
        </w:rPr>
      </w:pPr>
      <w:r w:rsidRPr="00D236EE">
        <w:rPr>
          <w:rFonts w:eastAsia="Times New Roman" w:cs="Calibri"/>
          <w:lang w:eastAsia="en-AU"/>
        </w:rPr>
        <w:t xml:space="preserve">Approximately </w:t>
      </w:r>
      <w:r w:rsidR="001252B8" w:rsidRPr="00D236EE">
        <w:rPr>
          <w:rFonts w:eastAsia="Times New Roman" w:cs="Calibri"/>
          <w:lang w:eastAsia="en-AU"/>
        </w:rPr>
        <w:t>70</w:t>
      </w:r>
      <w:r w:rsidR="0013039C" w:rsidRPr="00D236EE">
        <w:rPr>
          <w:rFonts w:eastAsia="Times New Roman" w:cs="Calibri"/>
          <w:lang w:eastAsia="en-AU"/>
        </w:rPr>
        <w:t xml:space="preserve">% of </w:t>
      </w:r>
      <w:r w:rsidR="00223CF5" w:rsidRPr="00D236EE">
        <w:rPr>
          <w:rFonts w:eastAsia="Times New Roman" w:cs="Calibri"/>
          <w:lang w:eastAsia="en-AU"/>
        </w:rPr>
        <w:t>c</w:t>
      </w:r>
      <w:r w:rsidR="0013039C" w:rsidRPr="00D236EE">
        <w:rPr>
          <w:rFonts w:eastAsia="Times New Roman" w:cs="Calibri"/>
          <w:lang w:eastAsia="en-AU"/>
        </w:rPr>
        <w:t xml:space="preserve">onstruction claims </w:t>
      </w:r>
      <w:r w:rsidR="00486C05" w:rsidRPr="00D236EE">
        <w:rPr>
          <w:rFonts w:eastAsia="Times New Roman" w:cs="Calibri"/>
          <w:lang w:eastAsia="en-AU"/>
        </w:rPr>
        <w:t xml:space="preserve">were in </w:t>
      </w:r>
      <w:r w:rsidR="001252B8" w:rsidRPr="00D236EE">
        <w:rPr>
          <w:rFonts w:eastAsia="Times New Roman" w:cs="Calibri"/>
          <w:lang w:eastAsia="en-AU"/>
        </w:rPr>
        <w:t>construction services (with a majority of these concentrated in building s</w:t>
      </w:r>
      <w:r w:rsidR="00FD17E5" w:rsidRPr="00D236EE">
        <w:rPr>
          <w:rFonts w:eastAsia="Times New Roman" w:cs="Calibri"/>
          <w:lang w:eastAsia="en-AU"/>
        </w:rPr>
        <w:t xml:space="preserve">tructure </w:t>
      </w:r>
      <w:r w:rsidR="00B7275D">
        <w:rPr>
          <w:rFonts w:eastAsia="Times New Roman" w:cs="Calibri"/>
          <w:lang w:eastAsia="en-AU"/>
        </w:rPr>
        <w:t>s</w:t>
      </w:r>
      <w:r w:rsidR="00FD17E5" w:rsidRPr="00D236EE">
        <w:rPr>
          <w:rFonts w:eastAsia="Times New Roman" w:cs="Calibri"/>
          <w:lang w:eastAsia="en-AU"/>
        </w:rPr>
        <w:t>ervices</w:t>
      </w:r>
      <w:r w:rsidR="00B7336A" w:rsidRPr="00D236EE">
        <w:rPr>
          <w:rFonts w:eastAsia="Times New Roman" w:cs="Calibri"/>
          <w:lang w:eastAsia="en-AU"/>
        </w:rPr>
        <w:t xml:space="preserve"> </w:t>
      </w:r>
      <w:r w:rsidR="001252B8" w:rsidRPr="00D236EE">
        <w:rPr>
          <w:rFonts w:eastAsia="Times New Roman" w:cs="Calibri"/>
          <w:lang w:eastAsia="en-AU"/>
        </w:rPr>
        <w:t>and b</w:t>
      </w:r>
      <w:r w:rsidR="00B7336A" w:rsidRPr="00D236EE">
        <w:rPr>
          <w:rFonts w:eastAsia="Times New Roman" w:cs="Calibri"/>
          <w:lang w:eastAsia="en-AU"/>
        </w:rPr>
        <w:t xml:space="preserve">uilding </w:t>
      </w:r>
      <w:r w:rsidR="001252B8" w:rsidRPr="00D236EE">
        <w:rPr>
          <w:rFonts w:eastAsia="Times New Roman" w:cs="Calibri"/>
          <w:lang w:eastAsia="en-AU"/>
        </w:rPr>
        <w:t>i</w:t>
      </w:r>
      <w:r w:rsidR="00B7336A" w:rsidRPr="00D236EE">
        <w:rPr>
          <w:rFonts w:eastAsia="Times New Roman" w:cs="Calibri"/>
          <w:lang w:eastAsia="en-AU"/>
        </w:rPr>
        <w:t>nst</w:t>
      </w:r>
      <w:r w:rsidR="00744CA3">
        <w:rPr>
          <w:rFonts w:eastAsia="Times New Roman" w:cs="Calibri"/>
          <w:lang w:eastAsia="en-AU"/>
        </w:rPr>
        <w:t>a</w:t>
      </w:r>
      <w:r w:rsidR="00B7336A" w:rsidRPr="00D236EE">
        <w:rPr>
          <w:rFonts w:eastAsia="Times New Roman" w:cs="Calibri"/>
          <w:lang w:eastAsia="en-AU"/>
        </w:rPr>
        <w:t xml:space="preserve">llation </w:t>
      </w:r>
      <w:r w:rsidR="001252B8" w:rsidRPr="00D236EE">
        <w:rPr>
          <w:rFonts w:eastAsia="Times New Roman" w:cs="Calibri"/>
          <w:lang w:eastAsia="en-AU"/>
        </w:rPr>
        <w:t>s</w:t>
      </w:r>
      <w:r w:rsidR="00B7336A" w:rsidRPr="00D236EE">
        <w:rPr>
          <w:rFonts w:eastAsia="Times New Roman" w:cs="Calibri"/>
          <w:lang w:eastAsia="en-AU"/>
        </w:rPr>
        <w:t>ervice</w:t>
      </w:r>
      <w:r w:rsidR="0013039C" w:rsidRPr="00D236EE">
        <w:rPr>
          <w:rFonts w:eastAsia="Times New Roman" w:cs="Calibri"/>
          <w:lang w:eastAsia="en-AU"/>
        </w:rPr>
        <w:t>s</w:t>
      </w:r>
      <w:r w:rsidR="001252B8" w:rsidRPr="00D236EE">
        <w:rPr>
          <w:rFonts w:eastAsia="Times New Roman" w:cs="Calibri"/>
          <w:lang w:eastAsia="en-AU"/>
        </w:rPr>
        <w:t>)</w:t>
      </w:r>
      <w:r w:rsidR="0013039C" w:rsidRPr="00D236EE">
        <w:rPr>
          <w:rFonts w:eastAsia="Times New Roman" w:cs="Calibri"/>
          <w:lang w:eastAsia="en-AU"/>
        </w:rPr>
        <w:t>.</w:t>
      </w:r>
    </w:p>
    <w:p w14:paraId="626DC178" w14:textId="0ABA14A0" w:rsidR="00D2726D" w:rsidRPr="001E12BD" w:rsidRDefault="00D2726D" w:rsidP="0013039C">
      <w:pPr>
        <w:shd w:val="clear" w:color="auto" w:fill="FFFFFF"/>
        <w:tabs>
          <w:tab w:val="left" w:pos="2070"/>
        </w:tabs>
        <w:spacing w:before="100" w:line="330" w:lineRule="atLeast"/>
        <w:rPr>
          <w:rFonts w:cs="Arial"/>
          <w:color w:val="auto"/>
        </w:rPr>
      </w:pPr>
      <w:r w:rsidRPr="001E12BD">
        <w:rPr>
          <w:rFonts w:cs="Arial"/>
          <w:color w:val="auto"/>
        </w:rPr>
        <w:lastRenderedPageBreak/>
        <w:t xml:space="preserve">Retail </w:t>
      </w:r>
      <w:r w:rsidR="00FB323D" w:rsidRPr="001E12BD">
        <w:rPr>
          <w:rFonts w:cs="Arial"/>
          <w:color w:val="auto"/>
        </w:rPr>
        <w:t>t</w:t>
      </w:r>
      <w:r w:rsidRPr="001E12BD">
        <w:rPr>
          <w:rFonts w:cs="Arial"/>
          <w:color w:val="auto"/>
        </w:rPr>
        <w:t xml:space="preserve">rade </w:t>
      </w:r>
      <w:r w:rsidR="004650FD" w:rsidRPr="001E12BD">
        <w:rPr>
          <w:rFonts w:cs="Arial"/>
          <w:color w:val="auto"/>
        </w:rPr>
        <w:t>(</w:t>
      </w:r>
      <w:r w:rsidR="00D236EE" w:rsidRPr="001E12BD">
        <w:rPr>
          <w:rFonts w:cs="Arial"/>
          <w:color w:val="auto"/>
        </w:rPr>
        <w:t>13</w:t>
      </w:r>
      <w:r w:rsidR="00FD17E5" w:rsidRPr="001E12BD">
        <w:rPr>
          <w:rFonts w:cs="Arial"/>
          <w:color w:val="auto"/>
        </w:rPr>
        <w:t>%</w:t>
      </w:r>
      <w:r w:rsidR="004650FD" w:rsidRPr="001E12BD">
        <w:rPr>
          <w:rFonts w:cs="Arial"/>
          <w:color w:val="auto"/>
        </w:rPr>
        <w:t xml:space="preserve">) </w:t>
      </w:r>
    </w:p>
    <w:p w14:paraId="4A793FBA" w14:textId="0BA49EA8" w:rsidR="00DB4B35" w:rsidRPr="001E12BD" w:rsidRDefault="004D34C1" w:rsidP="00FD17E5">
      <w:pPr>
        <w:pStyle w:val="ListParagraph"/>
        <w:numPr>
          <w:ilvl w:val="0"/>
          <w:numId w:val="22"/>
        </w:numPr>
        <w:tabs>
          <w:tab w:val="left" w:pos="2070"/>
        </w:tabs>
        <w:rPr>
          <w:rFonts w:cs="Arial"/>
        </w:rPr>
      </w:pPr>
      <w:r w:rsidRPr="001E12BD">
        <w:rPr>
          <w:rFonts w:cs="Arial"/>
        </w:rPr>
        <w:t>Approximately 7%</w:t>
      </w:r>
      <w:r w:rsidR="00EB78AB" w:rsidRPr="001E12BD">
        <w:rPr>
          <w:rFonts w:cs="Arial"/>
        </w:rPr>
        <w:t xml:space="preserve"> of all ACT workers were employed in </w:t>
      </w:r>
      <w:r w:rsidR="00FB323D" w:rsidRPr="001E12BD">
        <w:rPr>
          <w:rFonts w:cs="Arial"/>
        </w:rPr>
        <w:t>r</w:t>
      </w:r>
      <w:r w:rsidR="00EB78AB" w:rsidRPr="001E12BD">
        <w:rPr>
          <w:rFonts w:cs="Arial"/>
        </w:rPr>
        <w:t xml:space="preserve">etail </w:t>
      </w:r>
      <w:r w:rsidR="00FB323D" w:rsidRPr="001E12BD">
        <w:rPr>
          <w:rFonts w:cs="Arial"/>
        </w:rPr>
        <w:t>t</w:t>
      </w:r>
      <w:r w:rsidR="00EB78AB" w:rsidRPr="001E12BD">
        <w:rPr>
          <w:rFonts w:cs="Arial"/>
        </w:rPr>
        <w:t>rade during this period.</w:t>
      </w:r>
      <w:r w:rsidR="002B56D9" w:rsidRPr="001E12BD">
        <w:rPr>
          <w:rStyle w:val="FootnoteReference"/>
          <w:rFonts w:cs="Arial"/>
        </w:rPr>
        <w:footnoteReference w:id="16"/>
      </w:r>
    </w:p>
    <w:p w14:paraId="71359A96" w14:textId="15ECE436" w:rsidR="00FD17E5" w:rsidRPr="001E12BD" w:rsidRDefault="00FD17E5" w:rsidP="00FD17E5">
      <w:pPr>
        <w:pStyle w:val="ListParagraph"/>
        <w:numPr>
          <w:ilvl w:val="0"/>
          <w:numId w:val="22"/>
        </w:numPr>
        <w:tabs>
          <w:tab w:val="left" w:pos="2070"/>
        </w:tabs>
        <w:rPr>
          <w:rFonts w:cs="Arial"/>
        </w:rPr>
      </w:pPr>
      <w:r w:rsidRPr="001E12BD">
        <w:rPr>
          <w:rFonts w:cs="Arial"/>
        </w:rPr>
        <w:t xml:space="preserve">Supermarkets and </w:t>
      </w:r>
      <w:r w:rsidR="00FB323D" w:rsidRPr="001E12BD">
        <w:rPr>
          <w:rFonts w:cs="Arial"/>
        </w:rPr>
        <w:t>g</w:t>
      </w:r>
      <w:r w:rsidRPr="001E12BD">
        <w:rPr>
          <w:rFonts w:cs="Arial"/>
        </w:rPr>
        <w:t xml:space="preserve">rocery </w:t>
      </w:r>
      <w:r w:rsidR="00FB323D" w:rsidRPr="001E12BD">
        <w:rPr>
          <w:rFonts w:cs="Arial"/>
        </w:rPr>
        <w:t>s</w:t>
      </w:r>
      <w:r w:rsidRPr="001E12BD">
        <w:rPr>
          <w:rFonts w:cs="Arial"/>
        </w:rPr>
        <w:t xml:space="preserve">tore claims </w:t>
      </w:r>
      <w:r w:rsidR="0013039C" w:rsidRPr="001E12BD">
        <w:rPr>
          <w:rFonts w:cs="Arial"/>
        </w:rPr>
        <w:t>contribute</w:t>
      </w:r>
      <w:r w:rsidR="00C53789" w:rsidRPr="001E12BD">
        <w:rPr>
          <w:rFonts w:cs="Arial"/>
        </w:rPr>
        <w:t>d</w:t>
      </w:r>
      <w:r w:rsidR="0013039C" w:rsidRPr="001E12BD">
        <w:rPr>
          <w:rFonts w:cs="Arial"/>
        </w:rPr>
        <w:t xml:space="preserve"> </w:t>
      </w:r>
      <w:r w:rsidR="001E12BD" w:rsidRPr="001E12BD">
        <w:rPr>
          <w:rFonts w:cs="Arial"/>
        </w:rPr>
        <w:t xml:space="preserve">almost </w:t>
      </w:r>
      <w:r w:rsidRPr="001E12BD">
        <w:rPr>
          <w:rFonts w:cs="Arial"/>
        </w:rPr>
        <w:t xml:space="preserve">40% of </w:t>
      </w:r>
      <w:r w:rsidR="00FB323D" w:rsidRPr="001E12BD">
        <w:rPr>
          <w:rFonts w:cs="Arial"/>
        </w:rPr>
        <w:t xml:space="preserve">retail trade claims. </w:t>
      </w:r>
    </w:p>
    <w:p w14:paraId="733E027A" w14:textId="41329DB5" w:rsidR="000272C9" w:rsidRPr="00744CA3" w:rsidRDefault="000272C9" w:rsidP="00744CA3">
      <w:pPr>
        <w:pStyle w:val="Heading3"/>
        <w:spacing w:after="160"/>
        <w:rPr>
          <w:rFonts w:ascii="Raleway" w:hAnsi="Raleway"/>
          <w:color w:val="00A841" w:themeColor="accent1"/>
        </w:rPr>
      </w:pPr>
      <w:bookmarkStart w:id="4" w:name="_Hlk96783898"/>
      <w:r w:rsidRPr="00744CA3">
        <w:rPr>
          <w:rFonts w:ascii="Raleway" w:hAnsi="Raleway"/>
          <w:color w:val="00A841" w:themeColor="accent1"/>
        </w:rPr>
        <w:t xml:space="preserve">OCCUPATIONS </w:t>
      </w:r>
    </w:p>
    <w:bookmarkEnd w:id="4"/>
    <w:p w14:paraId="6A8C1AEE" w14:textId="0A2C4DAB" w:rsidR="00EE2D0A" w:rsidRPr="00960495" w:rsidRDefault="004307AC" w:rsidP="00D05E23">
      <w:pPr>
        <w:spacing w:after="160"/>
      </w:pPr>
      <w:r w:rsidRPr="00960495">
        <w:t>In the ACT the occupation</w:t>
      </w:r>
      <w:r w:rsidR="00885054" w:rsidRPr="00960495">
        <w:t xml:space="preserve"> groups with </w:t>
      </w:r>
      <w:r w:rsidRPr="00960495">
        <w:t xml:space="preserve">the </w:t>
      </w:r>
      <w:r w:rsidR="00EE2D0A" w:rsidRPr="00960495">
        <w:t xml:space="preserve">greatest </w:t>
      </w:r>
      <w:r w:rsidRPr="00960495">
        <w:t xml:space="preserve">number of MSD </w:t>
      </w:r>
      <w:r w:rsidR="00D05E23" w:rsidRPr="00960495">
        <w:t xml:space="preserve">claims </w:t>
      </w:r>
      <w:r w:rsidR="00EE2D0A" w:rsidRPr="00960495">
        <w:t>between 2017-2018</w:t>
      </w:r>
      <w:r w:rsidR="00D05E23" w:rsidRPr="00960495">
        <w:t xml:space="preserve"> and 202</w:t>
      </w:r>
      <w:r w:rsidR="004E2177">
        <w:t>0</w:t>
      </w:r>
      <w:r w:rsidR="00D05E23" w:rsidRPr="00960495">
        <w:t>-21</w:t>
      </w:r>
      <w:r w:rsidR="00EE2D0A" w:rsidRPr="00960495">
        <w:t xml:space="preserve"> were: </w:t>
      </w:r>
    </w:p>
    <w:p w14:paraId="27DA2480" w14:textId="15D8254F" w:rsidR="00954943" w:rsidRPr="00960495" w:rsidRDefault="00A01369" w:rsidP="00D05E23">
      <w:pPr>
        <w:pStyle w:val="ListParagraph"/>
        <w:numPr>
          <w:ilvl w:val="0"/>
          <w:numId w:val="22"/>
        </w:numPr>
        <w:tabs>
          <w:tab w:val="left" w:pos="2070"/>
        </w:tabs>
        <w:rPr>
          <w:rFonts w:cs="Arial"/>
        </w:rPr>
      </w:pPr>
      <w:r>
        <w:rPr>
          <w:rFonts w:cs="Arial"/>
        </w:rPr>
        <w:t>l</w:t>
      </w:r>
      <w:r w:rsidR="00954943" w:rsidRPr="00960495">
        <w:rPr>
          <w:rFonts w:cs="Arial"/>
        </w:rPr>
        <w:t>abourers (</w:t>
      </w:r>
      <w:r w:rsidR="003B6C32" w:rsidRPr="00960495">
        <w:rPr>
          <w:rFonts w:cs="Arial"/>
        </w:rPr>
        <w:t>2</w:t>
      </w:r>
      <w:r w:rsidR="0013039C" w:rsidRPr="00960495">
        <w:rPr>
          <w:rFonts w:cs="Arial"/>
        </w:rPr>
        <w:t>5</w:t>
      </w:r>
      <w:r w:rsidR="00954943" w:rsidRPr="00960495">
        <w:rPr>
          <w:rFonts w:cs="Arial"/>
        </w:rPr>
        <w:t>%)</w:t>
      </w:r>
    </w:p>
    <w:p w14:paraId="5FFA1EB5" w14:textId="6E45EA95" w:rsidR="00885054" w:rsidRPr="00960495" w:rsidRDefault="00A01369" w:rsidP="00D05E23">
      <w:pPr>
        <w:pStyle w:val="ListParagraph"/>
        <w:numPr>
          <w:ilvl w:val="0"/>
          <w:numId w:val="22"/>
        </w:numPr>
        <w:tabs>
          <w:tab w:val="left" w:pos="2070"/>
        </w:tabs>
        <w:rPr>
          <w:rFonts w:cs="Arial"/>
        </w:rPr>
      </w:pPr>
      <w:r>
        <w:rPr>
          <w:rFonts w:cs="Arial"/>
        </w:rPr>
        <w:t>t</w:t>
      </w:r>
      <w:r w:rsidR="00885054" w:rsidRPr="00960495">
        <w:rPr>
          <w:rFonts w:cs="Arial"/>
        </w:rPr>
        <w:t xml:space="preserve">echnicians and </w:t>
      </w:r>
      <w:r w:rsidR="00525D8E">
        <w:rPr>
          <w:rFonts w:cs="Arial"/>
        </w:rPr>
        <w:t>t</w:t>
      </w:r>
      <w:r w:rsidR="00885054" w:rsidRPr="00960495">
        <w:rPr>
          <w:rFonts w:cs="Arial"/>
        </w:rPr>
        <w:t xml:space="preserve">rades </w:t>
      </w:r>
      <w:r w:rsidR="00525D8E">
        <w:rPr>
          <w:rFonts w:cs="Arial"/>
        </w:rPr>
        <w:t>w</w:t>
      </w:r>
      <w:r w:rsidR="00C75FAC" w:rsidRPr="00960495">
        <w:rPr>
          <w:rFonts w:cs="Arial"/>
        </w:rPr>
        <w:t>orkers</w:t>
      </w:r>
      <w:r w:rsidR="00885054" w:rsidRPr="00960495">
        <w:rPr>
          <w:rFonts w:cs="Arial"/>
        </w:rPr>
        <w:t xml:space="preserve"> (19%)</w:t>
      </w:r>
      <w:r w:rsidR="00A40E08">
        <w:rPr>
          <w:rFonts w:cs="Arial"/>
        </w:rPr>
        <w:t>, and</w:t>
      </w:r>
    </w:p>
    <w:p w14:paraId="3AB36FD9" w14:textId="7E24CB96" w:rsidR="00885054" w:rsidRDefault="00A01369" w:rsidP="00885054">
      <w:pPr>
        <w:pStyle w:val="ListParagraph"/>
        <w:numPr>
          <w:ilvl w:val="0"/>
          <w:numId w:val="22"/>
        </w:numPr>
        <w:tabs>
          <w:tab w:val="left" w:pos="2070"/>
        </w:tabs>
        <w:rPr>
          <w:rFonts w:cs="Arial"/>
        </w:rPr>
      </w:pPr>
      <w:r>
        <w:rPr>
          <w:rFonts w:cs="Arial"/>
        </w:rPr>
        <w:t>c</w:t>
      </w:r>
      <w:r w:rsidR="00885054" w:rsidRPr="00960495">
        <w:rPr>
          <w:rFonts w:cs="Arial"/>
        </w:rPr>
        <w:t xml:space="preserve">ommunity and </w:t>
      </w:r>
      <w:r w:rsidR="00525D8E">
        <w:rPr>
          <w:rFonts w:cs="Arial"/>
        </w:rPr>
        <w:t>p</w:t>
      </w:r>
      <w:r w:rsidR="00885054" w:rsidRPr="00960495">
        <w:rPr>
          <w:rFonts w:cs="Arial"/>
        </w:rPr>
        <w:t xml:space="preserve">ersonal </w:t>
      </w:r>
      <w:r w:rsidR="00525D8E">
        <w:rPr>
          <w:rFonts w:cs="Arial"/>
        </w:rPr>
        <w:t>s</w:t>
      </w:r>
      <w:r w:rsidR="00885054" w:rsidRPr="00960495">
        <w:rPr>
          <w:rFonts w:cs="Arial"/>
        </w:rPr>
        <w:t xml:space="preserve">ervice </w:t>
      </w:r>
      <w:r w:rsidR="00525D8E">
        <w:rPr>
          <w:rFonts w:cs="Arial"/>
        </w:rPr>
        <w:t>w</w:t>
      </w:r>
      <w:r w:rsidR="00885054" w:rsidRPr="00960495">
        <w:rPr>
          <w:rFonts w:cs="Arial"/>
        </w:rPr>
        <w:t>orkers (16</w:t>
      </w:r>
      <w:r w:rsidR="006401DC" w:rsidRPr="00960495">
        <w:rPr>
          <w:rFonts w:cs="Arial"/>
        </w:rPr>
        <w:t>%</w:t>
      </w:r>
      <w:r w:rsidR="00885054" w:rsidRPr="00960495">
        <w:rPr>
          <w:rFonts w:cs="Arial"/>
        </w:rPr>
        <w:t xml:space="preserve">). </w:t>
      </w:r>
    </w:p>
    <w:p w14:paraId="57C424B1" w14:textId="77777777" w:rsidR="00A21D94" w:rsidRPr="00486C05" w:rsidRDefault="00A21D94" w:rsidP="00A21D94">
      <w:pPr>
        <w:pStyle w:val="ListParagraph"/>
        <w:tabs>
          <w:tab w:val="left" w:pos="2070"/>
        </w:tabs>
        <w:rPr>
          <w:rFonts w:cs="Arial"/>
        </w:rPr>
      </w:pPr>
    </w:p>
    <w:p w14:paraId="73B34085" w14:textId="1BA3D79B" w:rsidR="00DB4B35" w:rsidRPr="00744CA3" w:rsidRDefault="00DB4B35" w:rsidP="00F22725">
      <w:pPr>
        <w:keepNext/>
        <w:tabs>
          <w:tab w:val="left" w:pos="2070"/>
        </w:tabs>
        <w:rPr>
          <w:b/>
          <w:bCs/>
          <w:color w:val="00A841" w:themeColor="accent1"/>
          <w:sz w:val="24"/>
          <w:szCs w:val="24"/>
        </w:rPr>
      </w:pPr>
      <w:r w:rsidRPr="00744CA3">
        <w:rPr>
          <w:rFonts w:eastAsiaTheme="majorEastAsia" w:cstheme="majorBidi"/>
          <w:b/>
          <w:caps/>
          <w:color w:val="00A841" w:themeColor="accent1"/>
          <w:sz w:val="28"/>
          <w:szCs w:val="24"/>
        </w:rPr>
        <w:t xml:space="preserve">Workgroups </w:t>
      </w:r>
    </w:p>
    <w:p w14:paraId="72436B43" w14:textId="2E1B75C0" w:rsidR="006A3938" w:rsidRPr="004650FD" w:rsidRDefault="00486C05" w:rsidP="00D05E23">
      <w:pPr>
        <w:spacing w:after="160"/>
      </w:pPr>
      <w:r>
        <w:t>The frequency</w:t>
      </w:r>
      <w:r w:rsidR="004E2177">
        <w:t xml:space="preserve"> rate</w:t>
      </w:r>
      <w:r>
        <w:t xml:space="preserve"> of MSD claims is higher among older workers. The total frequency rate</w:t>
      </w:r>
      <w:r w:rsidR="004E2177">
        <w:t>s</w:t>
      </w:r>
      <w:r>
        <w:t xml:space="preserve"> for </w:t>
      </w:r>
      <w:r w:rsidR="00A21D94">
        <w:t>MSD</w:t>
      </w:r>
      <w:r w:rsidR="00D6519A">
        <w:t xml:space="preserve"> claims</w:t>
      </w:r>
      <w:r w:rsidR="00A21D94">
        <w:t xml:space="preserve"> for </w:t>
      </w:r>
      <w:r>
        <w:t xml:space="preserve">men and women are similar, but young male workers have </w:t>
      </w:r>
      <w:r w:rsidR="004E2177">
        <w:t xml:space="preserve">considerable </w:t>
      </w:r>
      <w:r w:rsidR="00A21D94">
        <w:t xml:space="preserve">higher frequency rates. </w:t>
      </w:r>
      <w:r>
        <w:t xml:space="preserve">   </w:t>
      </w:r>
      <w:r w:rsidR="00EE2D0A" w:rsidRPr="004650FD">
        <w:t xml:space="preserve"> </w:t>
      </w:r>
    </w:p>
    <w:p w14:paraId="3E4FB76B" w14:textId="72EF7908" w:rsidR="00D2726D" w:rsidRPr="004650FD" w:rsidRDefault="00D2726D" w:rsidP="00F22725">
      <w:pPr>
        <w:spacing w:after="160"/>
        <w:jc w:val="center"/>
      </w:pPr>
      <w:r w:rsidRPr="004650FD">
        <w:rPr>
          <w:noProof/>
        </w:rPr>
        <w:drawing>
          <wp:inline distT="0" distB="0" distL="0" distR="0" wp14:anchorId="5CC5F217" wp14:editId="5CFE9216">
            <wp:extent cx="5208717" cy="266400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08717" cy="2664000"/>
                    </a:xfrm>
                    <a:prstGeom prst="rect">
                      <a:avLst/>
                    </a:prstGeom>
                  </pic:spPr>
                </pic:pic>
              </a:graphicData>
            </a:graphic>
          </wp:inline>
        </w:drawing>
      </w:r>
    </w:p>
    <w:p w14:paraId="609F2C33" w14:textId="398A8FEC" w:rsidR="00C53253" w:rsidRPr="00F22725" w:rsidRDefault="006E16D1" w:rsidP="00D05E23">
      <w:pPr>
        <w:spacing w:after="160"/>
        <w:rPr>
          <w:b/>
          <w:bCs/>
          <w:sz w:val="18"/>
          <w:szCs w:val="18"/>
        </w:rPr>
      </w:pPr>
      <w:r w:rsidRPr="00F22725">
        <w:rPr>
          <w:b/>
          <w:bCs/>
          <w:sz w:val="18"/>
          <w:szCs w:val="18"/>
        </w:rPr>
        <w:t xml:space="preserve">Table 1 | </w:t>
      </w:r>
      <w:r w:rsidR="006A3938" w:rsidRPr="00F22725">
        <w:rPr>
          <w:b/>
          <w:bCs/>
          <w:sz w:val="18"/>
          <w:szCs w:val="18"/>
        </w:rPr>
        <w:t>Frequency rates of serious MSD claims by age group and sex, 2009–10 to 2013–14 combined</w:t>
      </w:r>
      <w:r w:rsidR="008650AA" w:rsidRPr="00F22725">
        <w:rPr>
          <w:rStyle w:val="FootnoteReference"/>
          <w:b/>
          <w:bCs/>
          <w:sz w:val="18"/>
          <w:szCs w:val="18"/>
        </w:rPr>
        <w:footnoteReference w:id="17"/>
      </w:r>
    </w:p>
    <w:p w14:paraId="5481EF0F" w14:textId="5CBDC8B9" w:rsidR="00A128D9" w:rsidRDefault="00A128D9" w:rsidP="00A128D9">
      <w:pPr>
        <w:pStyle w:val="Heading2"/>
        <w:spacing w:after="160"/>
      </w:pPr>
      <w:r>
        <w:t xml:space="preserve">Compliance and Enforcement Priorities </w:t>
      </w:r>
    </w:p>
    <w:p w14:paraId="743D1EA9" w14:textId="609F235A" w:rsidR="007F02A1" w:rsidRPr="004650FD" w:rsidRDefault="007F02A1" w:rsidP="00D05E23">
      <w:pPr>
        <w:spacing w:after="160"/>
      </w:pPr>
      <w:r w:rsidRPr="004650FD">
        <w:t xml:space="preserve">WorkSafe </w:t>
      </w:r>
      <w:r w:rsidR="005B008E">
        <w:t xml:space="preserve">will </w:t>
      </w:r>
      <w:r w:rsidRPr="004650FD">
        <w:t>focus i</w:t>
      </w:r>
      <w:r w:rsidR="00DD62F1">
        <w:t>t</w:t>
      </w:r>
      <w:r w:rsidRPr="004650FD">
        <w:t xml:space="preserve">s compliance and enforcement activities on: </w:t>
      </w:r>
    </w:p>
    <w:p w14:paraId="454250E4" w14:textId="1479DBA6" w:rsidR="00954943" w:rsidRPr="004650FD" w:rsidRDefault="00954943" w:rsidP="00D05E23">
      <w:pPr>
        <w:pStyle w:val="ListParagraph"/>
        <w:numPr>
          <w:ilvl w:val="0"/>
          <w:numId w:val="18"/>
        </w:numPr>
      </w:pPr>
      <w:r w:rsidRPr="004650FD">
        <w:t>PCBUs with workers at greater risk of suffering from an MSD, such as</w:t>
      </w:r>
      <w:r w:rsidR="00A01369">
        <w:t xml:space="preserve"> those who</w:t>
      </w:r>
      <w:r w:rsidRPr="004650FD">
        <w:t xml:space="preserve">: </w:t>
      </w:r>
    </w:p>
    <w:p w14:paraId="54C700DA" w14:textId="1445DC3E" w:rsidR="005B008E" w:rsidRDefault="005B008E" w:rsidP="007F02A1">
      <w:pPr>
        <w:pStyle w:val="ListParagraph"/>
        <w:numPr>
          <w:ilvl w:val="1"/>
          <w:numId w:val="18"/>
        </w:numPr>
        <w:tabs>
          <w:tab w:val="left" w:pos="2070"/>
        </w:tabs>
      </w:pPr>
      <w:r>
        <w:t>employ labourers,</w:t>
      </w:r>
    </w:p>
    <w:p w14:paraId="12950483" w14:textId="1A6C8C88" w:rsidR="00CB6C7B" w:rsidRPr="005B008E" w:rsidRDefault="00CB6C7B" w:rsidP="007F02A1">
      <w:pPr>
        <w:pStyle w:val="ListParagraph"/>
        <w:numPr>
          <w:ilvl w:val="1"/>
          <w:numId w:val="18"/>
        </w:numPr>
        <w:tabs>
          <w:tab w:val="left" w:pos="2070"/>
        </w:tabs>
      </w:pPr>
      <w:r>
        <w:t>operat</w:t>
      </w:r>
      <w:r w:rsidR="00A01369">
        <w:t>e</w:t>
      </w:r>
      <w:r>
        <w:t xml:space="preserve"> </w:t>
      </w:r>
      <w:r w:rsidR="00CD481D">
        <w:t xml:space="preserve">in </w:t>
      </w:r>
      <w:r>
        <w:t>the construction industry,</w:t>
      </w:r>
    </w:p>
    <w:p w14:paraId="79C8EEC0" w14:textId="2433E573" w:rsidR="00954943" w:rsidRDefault="007F02A1" w:rsidP="007F02A1">
      <w:pPr>
        <w:pStyle w:val="ListParagraph"/>
        <w:numPr>
          <w:ilvl w:val="1"/>
          <w:numId w:val="18"/>
        </w:numPr>
        <w:tabs>
          <w:tab w:val="left" w:pos="2070"/>
        </w:tabs>
      </w:pPr>
      <w:r w:rsidRPr="004650FD">
        <w:rPr>
          <w:rFonts w:cs="Arial"/>
        </w:rPr>
        <w:t>operat</w:t>
      </w:r>
      <w:r w:rsidR="00A01369">
        <w:rPr>
          <w:rFonts w:cs="Arial"/>
        </w:rPr>
        <w:t>e</w:t>
      </w:r>
      <w:r w:rsidRPr="004650FD">
        <w:rPr>
          <w:rFonts w:cs="Arial"/>
        </w:rPr>
        <w:t xml:space="preserve"> in the </w:t>
      </w:r>
      <w:r w:rsidR="00744CA3">
        <w:rPr>
          <w:rFonts w:cs="Arial"/>
        </w:rPr>
        <w:t>healthcare</w:t>
      </w:r>
      <w:r w:rsidRPr="004650FD">
        <w:rPr>
          <w:rFonts w:cs="Arial"/>
        </w:rPr>
        <w:t xml:space="preserve"> and </w:t>
      </w:r>
      <w:r w:rsidR="007D0887">
        <w:rPr>
          <w:rFonts w:cs="Arial"/>
        </w:rPr>
        <w:t>s</w:t>
      </w:r>
      <w:r w:rsidRPr="004650FD">
        <w:rPr>
          <w:rFonts w:cs="Arial"/>
        </w:rPr>
        <w:t xml:space="preserve">ocial </w:t>
      </w:r>
      <w:r w:rsidR="007D0887">
        <w:rPr>
          <w:rFonts w:cs="Arial"/>
        </w:rPr>
        <w:t>a</w:t>
      </w:r>
      <w:r w:rsidRPr="004650FD">
        <w:rPr>
          <w:rFonts w:cs="Arial"/>
        </w:rPr>
        <w:t xml:space="preserve">ssistance </w:t>
      </w:r>
      <w:r w:rsidR="00960495">
        <w:rPr>
          <w:rFonts w:cs="Arial"/>
        </w:rPr>
        <w:t>i</w:t>
      </w:r>
      <w:r w:rsidRPr="004650FD">
        <w:rPr>
          <w:rFonts w:cs="Arial"/>
        </w:rPr>
        <w:t xml:space="preserve">ndustry, with a focus on PCBUs </w:t>
      </w:r>
      <w:r w:rsidR="007D0887">
        <w:rPr>
          <w:rFonts w:cs="Arial"/>
        </w:rPr>
        <w:t xml:space="preserve">in </w:t>
      </w:r>
      <w:r w:rsidR="00CD481D">
        <w:rPr>
          <w:rFonts w:cs="Arial"/>
        </w:rPr>
        <w:t xml:space="preserve">residential </w:t>
      </w:r>
      <w:r w:rsidR="007D0887">
        <w:rPr>
          <w:rFonts w:cs="Arial"/>
        </w:rPr>
        <w:t>care services and social assistance services</w:t>
      </w:r>
      <w:r w:rsidR="00925E09">
        <w:rPr>
          <w:rFonts w:cs="Arial"/>
        </w:rPr>
        <w:t xml:space="preserve">, and </w:t>
      </w:r>
      <w:r w:rsidR="007D0887">
        <w:rPr>
          <w:rFonts w:cs="Arial"/>
        </w:rPr>
        <w:t xml:space="preserve"> </w:t>
      </w:r>
      <w:r w:rsidR="00954943" w:rsidRPr="004650FD">
        <w:t xml:space="preserve"> </w:t>
      </w:r>
    </w:p>
    <w:p w14:paraId="2C7C313D" w14:textId="7B567643" w:rsidR="00954943" w:rsidRPr="004650FD" w:rsidRDefault="00A01369" w:rsidP="00D05E23">
      <w:pPr>
        <w:pStyle w:val="ListParagraph"/>
        <w:numPr>
          <w:ilvl w:val="1"/>
          <w:numId w:val="18"/>
        </w:numPr>
      </w:pPr>
      <w:r>
        <w:t>have a</w:t>
      </w:r>
      <w:r w:rsidR="006A3938">
        <w:t xml:space="preserve"> </w:t>
      </w:r>
      <w:r w:rsidR="0025114A">
        <w:t xml:space="preserve">high percentage of </w:t>
      </w:r>
      <w:r w:rsidR="006A3938">
        <w:t>o</w:t>
      </w:r>
      <w:r w:rsidR="00954943" w:rsidRPr="004650FD">
        <w:t>lder workers</w:t>
      </w:r>
      <w:r w:rsidR="0025114A">
        <w:t xml:space="preserve">. </w:t>
      </w:r>
      <w:r w:rsidR="00954943" w:rsidRPr="004650FD">
        <w:t xml:space="preserve"> </w:t>
      </w:r>
    </w:p>
    <w:p w14:paraId="710FE16D" w14:textId="4F223894" w:rsidR="008948F2" w:rsidRPr="004650FD" w:rsidRDefault="00FC4E55" w:rsidP="00D05E23">
      <w:pPr>
        <w:pStyle w:val="Heading2"/>
        <w:spacing w:after="160"/>
      </w:pPr>
      <w:bookmarkStart w:id="5" w:name="_Toc80349767"/>
      <w:r w:rsidRPr="004650FD">
        <w:lastRenderedPageBreak/>
        <w:t>EVALUATION</w:t>
      </w:r>
      <w:bookmarkEnd w:id="5"/>
    </w:p>
    <w:p w14:paraId="4944C61C" w14:textId="1AC70233" w:rsidR="00B157CE" w:rsidRPr="004650FD" w:rsidRDefault="005E72B9" w:rsidP="00D05E23">
      <w:pPr>
        <w:spacing w:after="160"/>
      </w:pPr>
      <w:r w:rsidRPr="004650FD">
        <w:t xml:space="preserve">WorkSafe ACT is committed to </w:t>
      </w:r>
      <w:r w:rsidR="007C6115" w:rsidRPr="004650FD">
        <w:t xml:space="preserve">evaluating and reporting </w:t>
      </w:r>
      <w:r w:rsidR="007549C6" w:rsidRPr="004650FD">
        <w:t xml:space="preserve">on its </w:t>
      </w:r>
      <w:r w:rsidR="007C6115" w:rsidRPr="004650FD">
        <w:t>activities</w:t>
      </w:r>
      <w:r w:rsidR="00A6464E" w:rsidRPr="004650FD">
        <w:t xml:space="preserve"> to support its</w:t>
      </w:r>
      <w:r w:rsidR="007C6115" w:rsidRPr="004650FD">
        <w:t xml:space="preserve"> </w:t>
      </w:r>
      <w:r w:rsidR="00792BF0" w:rsidRPr="004650FD">
        <w:t>s</w:t>
      </w:r>
      <w:r w:rsidR="007C6115" w:rsidRPr="004650FD">
        <w:t>trategi</w:t>
      </w:r>
      <w:r w:rsidR="000D686B" w:rsidRPr="004650FD">
        <w:t>c initiatives</w:t>
      </w:r>
      <w:r w:rsidR="00B157CE" w:rsidRPr="004650FD">
        <w:t>.</w:t>
      </w:r>
      <w:r w:rsidR="000D686B" w:rsidRPr="004650FD">
        <w:t xml:space="preserve"> </w:t>
      </w:r>
      <w:r w:rsidR="00B157CE" w:rsidRPr="004650FD">
        <w:t>T</w:t>
      </w:r>
      <w:r w:rsidR="000D686B" w:rsidRPr="004650FD">
        <w:t xml:space="preserve">his will be achieved </w:t>
      </w:r>
      <w:r w:rsidR="00B157CE" w:rsidRPr="004650FD">
        <w:t>through yearly review of implementation and a final evaluation report for the life of the Strategy.</w:t>
      </w:r>
    </w:p>
    <w:p w14:paraId="5876D021" w14:textId="25BD0026" w:rsidR="007C6115" w:rsidRPr="004650FD" w:rsidRDefault="005B21F8" w:rsidP="00D05E23">
      <w:pPr>
        <w:spacing w:after="160"/>
      </w:pPr>
      <w:r w:rsidRPr="004650FD">
        <w:t>The progress of the Strategy will be reported in WorkSafe ACT’s Annual Report</w:t>
      </w:r>
      <w:r w:rsidR="000D686B" w:rsidRPr="004650FD">
        <w:t>s</w:t>
      </w:r>
      <w:r w:rsidRPr="004650FD">
        <w:t xml:space="preserve"> </w:t>
      </w:r>
      <w:r w:rsidR="007C6115" w:rsidRPr="004650FD">
        <w:t xml:space="preserve">published on the website: </w:t>
      </w:r>
      <w:hyperlink r:id="rId21" w:history="1">
        <w:r w:rsidR="007C6115" w:rsidRPr="004650FD">
          <w:rPr>
            <w:rStyle w:val="Hyperlink"/>
            <w:rFonts w:cs="Arial"/>
          </w:rPr>
          <w:t>https://www.worksafe.act.gov.au/</w:t>
        </w:r>
      </w:hyperlink>
      <w:r w:rsidR="007C6115" w:rsidRPr="004650FD">
        <w:t xml:space="preserve"> </w:t>
      </w:r>
    </w:p>
    <w:sectPr w:rsidR="007C6115" w:rsidRPr="004650FD" w:rsidSect="00470FDE">
      <w:headerReference w:type="default" r:id="rId22"/>
      <w:footerReference w:type="default" r:id="rId23"/>
      <w:headerReference w:type="first" r:id="rId24"/>
      <w:footerReference w:type="first" r:id="rId25"/>
      <w:pgSz w:w="11906" w:h="16838" w:code="9"/>
      <w:pgMar w:top="1135" w:right="680" w:bottom="680" w:left="68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337AF" w14:textId="77777777" w:rsidR="00B94305" w:rsidRDefault="00B94305" w:rsidP="00EF7AB7">
      <w:r>
        <w:separator/>
      </w:r>
    </w:p>
    <w:p w14:paraId="643C066E" w14:textId="77777777" w:rsidR="00B94305" w:rsidRDefault="00B94305" w:rsidP="00EF7AB7"/>
  </w:endnote>
  <w:endnote w:type="continuationSeparator" w:id="0">
    <w:p w14:paraId="526B12B5" w14:textId="77777777" w:rsidR="00B94305" w:rsidRDefault="00B94305" w:rsidP="00EF7AB7">
      <w:r>
        <w:continuationSeparator/>
      </w:r>
    </w:p>
    <w:p w14:paraId="70B9864A" w14:textId="77777777" w:rsidR="00B94305" w:rsidRDefault="00B94305" w:rsidP="00EF7A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leway">
    <w:altName w:val="Raleway"/>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1EA48" w14:textId="135174C3" w:rsidR="00891EDC" w:rsidRDefault="00891EDC" w:rsidP="00EF7AB7">
    <w:r>
      <w:fldChar w:fldCharType="begin"/>
    </w:r>
    <w:r>
      <w:instrText xml:space="preserve"> DATE \@ "d/MM/yyyy" </w:instrText>
    </w:r>
    <w:r>
      <w:fldChar w:fldCharType="separate"/>
    </w:r>
    <w:r w:rsidR="0062666A">
      <w:rPr>
        <w:noProof/>
      </w:rPr>
      <w:t>28/04/2022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2EC9D" w14:textId="506C9C9F" w:rsidR="00891EDC" w:rsidRDefault="00891EDC" w:rsidP="00EF7AB7">
    <w:r>
      <w:rPr>
        <w:noProof/>
      </w:rPr>
      <w:drawing>
        <wp:anchor distT="0" distB="0" distL="114300" distR="114300" simplePos="0" relativeHeight="251655164" behindDoc="0" locked="0" layoutInCell="1" allowOverlap="1" wp14:anchorId="6067CE2F" wp14:editId="71C16104">
          <wp:simplePos x="0" y="0"/>
          <wp:positionH relativeFrom="page">
            <wp:posOffset>191059</wp:posOffset>
          </wp:positionH>
          <wp:positionV relativeFrom="page">
            <wp:posOffset>7028266</wp:posOffset>
          </wp:positionV>
          <wp:extent cx="2449195" cy="104330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placeACT_cover_logo.png"/>
                  <pic:cNvPicPr/>
                </pic:nvPicPr>
                <pic:blipFill>
                  <a:blip r:embed="rId1">
                    <a:extLst>
                      <a:ext uri="{28A0092B-C50C-407E-A947-70E740481C1C}">
                        <a14:useLocalDpi xmlns:a14="http://schemas.microsoft.com/office/drawing/2010/main" val="0"/>
                      </a:ext>
                    </a:extLst>
                  </a:blip>
                  <a:stretch>
                    <a:fillRect/>
                  </a:stretch>
                </pic:blipFill>
                <pic:spPr>
                  <a:xfrm>
                    <a:off x="0" y="0"/>
                    <a:ext cx="2449195" cy="10433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497882"/>
      <w:docPartObj>
        <w:docPartGallery w:val="Page Numbers (Bottom of Page)"/>
        <w:docPartUnique/>
      </w:docPartObj>
    </w:sdtPr>
    <w:sdtEndPr>
      <w:rPr>
        <w:noProof/>
      </w:rPr>
    </w:sdtEndPr>
    <w:sdtContent>
      <w:p w14:paraId="46CBB2A1" w14:textId="3C6CEBA2" w:rsidR="00470FDE" w:rsidRDefault="00470F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753B55" w14:textId="627EAB75" w:rsidR="00891EDC" w:rsidRPr="00470FDE" w:rsidRDefault="00470FDE" w:rsidP="00EF7AB7">
    <w:pPr>
      <w:pStyle w:val="Footer"/>
      <w:rPr>
        <w:rFonts w:ascii="Raleway" w:hAnsi="Raleway"/>
      </w:rPr>
    </w:pPr>
    <w:r w:rsidRPr="00470FDE">
      <w:rPr>
        <w:rFonts w:ascii="Raleway" w:hAnsi="Raleway"/>
      </w:rPr>
      <w:t xml:space="preserve">Strategy to </w:t>
    </w:r>
    <w:r w:rsidR="005B008E">
      <w:rPr>
        <w:rFonts w:ascii="Raleway" w:hAnsi="Raleway"/>
      </w:rPr>
      <w:t>P</w:t>
    </w:r>
    <w:r w:rsidRPr="00470FDE">
      <w:rPr>
        <w:rFonts w:ascii="Raleway" w:hAnsi="Raleway"/>
      </w:rPr>
      <w:t>revent Musculoskeletal Disorders 2022-2024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377052"/>
      <w:docPartObj>
        <w:docPartGallery w:val="Page Numbers (Bottom of Page)"/>
        <w:docPartUnique/>
      </w:docPartObj>
    </w:sdtPr>
    <w:sdtEndPr>
      <w:rPr>
        <w:noProof/>
      </w:rPr>
    </w:sdtEndPr>
    <w:sdtContent>
      <w:p w14:paraId="242CB0A0" w14:textId="1E9829B5" w:rsidR="00470FDE" w:rsidRDefault="00470F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2AB637" w14:textId="06C08EA3" w:rsidR="00891EDC" w:rsidRPr="00470FDE" w:rsidRDefault="00891EDC" w:rsidP="00EF7AB7">
    <w:pPr>
      <w:pStyle w:val="Footer"/>
      <w:rPr>
        <w:rFonts w:ascii="Raleway" w:hAnsi="Ralewa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1957E" w14:textId="77777777" w:rsidR="00B94305" w:rsidRPr="00FF08F5" w:rsidRDefault="00B94305" w:rsidP="00EF7AB7">
      <w:pPr>
        <w:rPr>
          <w:lang w:val="en-US"/>
        </w:rPr>
      </w:pPr>
      <w:r>
        <w:rPr>
          <w:lang w:val="en-US"/>
        </w:rPr>
        <w:t>____</w:t>
      </w:r>
    </w:p>
  </w:footnote>
  <w:footnote w:type="continuationSeparator" w:id="0">
    <w:p w14:paraId="009F8601" w14:textId="77777777" w:rsidR="00B94305" w:rsidRDefault="00B94305" w:rsidP="00EF7AB7">
      <w:r>
        <w:continuationSeparator/>
      </w:r>
    </w:p>
    <w:p w14:paraId="02E48A3E" w14:textId="77777777" w:rsidR="00B94305" w:rsidRDefault="00B94305" w:rsidP="00EF7AB7"/>
  </w:footnote>
  <w:footnote w:id="1">
    <w:p w14:paraId="5D80B829" w14:textId="3115338E" w:rsidR="00665C7C" w:rsidRPr="00496F1B" w:rsidRDefault="00665C7C" w:rsidP="00496F1B">
      <w:pPr>
        <w:pStyle w:val="FootnoteText"/>
        <w:spacing w:before="0" w:after="0" w:line="240" w:lineRule="auto"/>
        <w:rPr>
          <w:sz w:val="20"/>
          <w:szCs w:val="20"/>
        </w:rPr>
      </w:pPr>
      <w:r w:rsidRPr="00496F1B">
        <w:rPr>
          <w:rStyle w:val="FootnoteReference"/>
          <w:sz w:val="20"/>
          <w:szCs w:val="20"/>
        </w:rPr>
        <w:footnoteRef/>
      </w:r>
      <w:r w:rsidRPr="00496F1B">
        <w:rPr>
          <w:sz w:val="20"/>
          <w:szCs w:val="20"/>
        </w:rPr>
        <w:t xml:space="preserve"> </w:t>
      </w:r>
      <w:r w:rsidR="000044C8" w:rsidRPr="00496F1B">
        <w:rPr>
          <w:sz w:val="20"/>
          <w:szCs w:val="20"/>
        </w:rPr>
        <w:t xml:space="preserve">Safe Work Australia (SWA), </w:t>
      </w:r>
      <w:hyperlink r:id="rId1" w:history="1">
        <w:r w:rsidR="000044C8" w:rsidRPr="00496F1B">
          <w:rPr>
            <w:rStyle w:val="Hyperlink"/>
            <w:sz w:val="20"/>
            <w:szCs w:val="20"/>
          </w:rPr>
          <w:t>Work-related Musculoskeletal Disorders in Australia 2019</w:t>
        </w:r>
      </w:hyperlink>
      <w:r w:rsidR="000044C8" w:rsidRPr="00496F1B">
        <w:rPr>
          <w:sz w:val="20"/>
          <w:szCs w:val="20"/>
        </w:rPr>
        <w:t xml:space="preserve">, p. 11. </w:t>
      </w:r>
      <w:r w:rsidRPr="00496F1B">
        <w:rPr>
          <w:sz w:val="20"/>
          <w:szCs w:val="20"/>
        </w:rPr>
        <w:t xml:space="preserve"> </w:t>
      </w:r>
    </w:p>
  </w:footnote>
  <w:footnote w:id="2">
    <w:p w14:paraId="30CB2335" w14:textId="60B4CBC8" w:rsidR="00535BEC" w:rsidRPr="00496F1B" w:rsidRDefault="00535BEC" w:rsidP="00496F1B">
      <w:pPr>
        <w:pStyle w:val="FootnoteText"/>
        <w:spacing w:before="0" w:after="0" w:line="240" w:lineRule="auto"/>
        <w:rPr>
          <w:sz w:val="20"/>
          <w:szCs w:val="20"/>
        </w:rPr>
      </w:pPr>
      <w:r w:rsidRPr="00496F1B">
        <w:rPr>
          <w:rStyle w:val="FootnoteReference"/>
          <w:sz w:val="20"/>
          <w:szCs w:val="20"/>
        </w:rPr>
        <w:footnoteRef/>
      </w:r>
      <w:r w:rsidRPr="00496F1B">
        <w:rPr>
          <w:sz w:val="20"/>
          <w:szCs w:val="20"/>
        </w:rPr>
        <w:t xml:space="preserve"> Safe Work Australia (SWA), </w:t>
      </w:r>
      <w:hyperlink r:id="rId2" w:history="1">
        <w:r w:rsidRPr="00496F1B">
          <w:rPr>
            <w:rStyle w:val="Hyperlink"/>
            <w:sz w:val="20"/>
            <w:szCs w:val="20"/>
          </w:rPr>
          <w:t>Work-related Musculoskeletal Disorders in Australia 2019</w:t>
        </w:r>
      </w:hyperlink>
      <w:r w:rsidRPr="00496F1B">
        <w:rPr>
          <w:sz w:val="20"/>
          <w:szCs w:val="20"/>
        </w:rPr>
        <w:t>, p</w:t>
      </w:r>
      <w:r w:rsidR="009C5AB1">
        <w:rPr>
          <w:sz w:val="20"/>
          <w:szCs w:val="20"/>
        </w:rPr>
        <w:t>p</w:t>
      </w:r>
      <w:r w:rsidRPr="00496F1B">
        <w:rPr>
          <w:sz w:val="20"/>
          <w:szCs w:val="20"/>
        </w:rPr>
        <w:t xml:space="preserve">. 14-15.  </w:t>
      </w:r>
    </w:p>
    <w:p w14:paraId="3299D807" w14:textId="7C12744E" w:rsidR="00535BEC" w:rsidRPr="00496F1B" w:rsidRDefault="00535BEC" w:rsidP="00496F1B">
      <w:pPr>
        <w:pStyle w:val="FootnoteText"/>
        <w:spacing w:before="0" w:after="0" w:line="240" w:lineRule="auto"/>
        <w:rPr>
          <w:sz w:val="20"/>
          <w:szCs w:val="20"/>
        </w:rPr>
      </w:pPr>
    </w:p>
  </w:footnote>
  <w:footnote w:id="3">
    <w:p w14:paraId="26ED34B7" w14:textId="7B46076B" w:rsidR="001D77C8" w:rsidRPr="00496F1B" w:rsidRDefault="001D77C8" w:rsidP="00496F1B">
      <w:pPr>
        <w:pStyle w:val="FootnoteText"/>
        <w:spacing w:before="0" w:after="0" w:line="240" w:lineRule="auto"/>
        <w:rPr>
          <w:sz w:val="20"/>
          <w:szCs w:val="20"/>
        </w:rPr>
      </w:pPr>
      <w:r w:rsidRPr="00496F1B">
        <w:rPr>
          <w:rStyle w:val="FootnoteReference"/>
          <w:sz w:val="20"/>
          <w:szCs w:val="20"/>
        </w:rPr>
        <w:footnoteRef/>
      </w:r>
      <w:r w:rsidRPr="00496F1B">
        <w:rPr>
          <w:sz w:val="20"/>
          <w:szCs w:val="20"/>
        </w:rPr>
        <w:t xml:space="preserve"> </w:t>
      </w:r>
      <w:r w:rsidRPr="00591D51">
        <w:rPr>
          <w:sz w:val="18"/>
          <w:szCs w:val="18"/>
        </w:rPr>
        <w:t xml:space="preserve">Safe Work Australia (SWA), </w:t>
      </w:r>
      <w:hyperlink r:id="rId3" w:history="1">
        <w:r w:rsidR="008048B4" w:rsidRPr="00591D51">
          <w:rPr>
            <w:rStyle w:val="Hyperlink"/>
            <w:sz w:val="18"/>
            <w:szCs w:val="18"/>
          </w:rPr>
          <w:t>Work-related Musculoskeletal Disorders in Australia 2019</w:t>
        </w:r>
      </w:hyperlink>
      <w:r w:rsidR="008048B4" w:rsidRPr="00591D51">
        <w:rPr>
          <w:sz w:val="18"/>
          <w:szCs w:val="18"/>
        </w:rPr>
        <w:t>, p. 8.</w:t>
      </w:r>
      <w:r w:rsidR="008048B4" w:rsidRPr="00496F1B">
        <w:rPr>
          <w:sz w:val="20"/>
          <w:szCs w:val="20"/>
        </w:rPr>
        <w:t xml:space="preserve"> </w:t>
      </w:r>
    </w:p>
  </w:footnote>
  <w:footnote w:id="4">
    <w:p w14:paraId="7C20AAB2" w14:textId="257C0C9D" w:rsidR="008D7610" w:rsidRPr="00591D51" w:rsidRDefault="008048B4" w:rsidP="00496F1B">
      <w:pPr>
        <w:spacing w:before="0" w:after="0" w:line="240" w:lineRule="auto"/>
        <w:rPr>
          <w:sz w:val="18"/>
          <w:szCs w:val="18"/>
        </w:rPr>
      </w:pPr>
      <w:r w:rsidRPr="00496F1B">
        <w:rPr>
          <w:rStyle w:val="FootnoteReference"/>
          <w:sz w:val="20"/>
          <w:szCs w:val="20"/>
        </w:rPr>
        <w:footnoteRef/>
      </w:r>
      <w:r w:rsidRPr="00496F1B">
        <w:rPr>
          <w:sz w:val="20"/>
          <w:szCs w:val="20"/>
        </w:rPr>
        <w:t xml:space="preserve"> </w:t>
      </w:r>
      <w:r w:rsidRPr="00591D51">
        <w:rPr>
          <w:sz w:val="18"/>
          <w:szCs w:val="18"/>
        </w:rPr>
        <w:t xml:space="preserve">Safe Work Australia, </w:t>
      </w:r>
      <w:hyperlink r:id="rId4" w:history="1">
        <w:r w:rsidR="008653C6" w:rsidRPr="00591D51">
          <w:rPr>
            <w:rStyle w:val="Hyperlink"/>
            <w:sz w:val="18"/>
            <w:szCs w:val="18"/>
            <w:shd w:val="clear" w:color="auto" w:fill="FFFFFF"/>
          </w:rPr>
          <w:t xml:space="preserve">Key </w:t>
        </w:r>
        <w:r w:rsidR="001A05D8" w:rsidRPr="00591D51">
          <w:rPr>
            <w:rStyle w:val="Hyperlink"/>
            <w:sz w:val="18"/>
            <w:szCs w:val="18"/>
            <w:shd w:val="clear" w:color="auto" w:fill="FFFFFF"/>
          </w:rPr>
          <w:t>W</w:t>
        </w:r>
        <w:r w:rsidR="008653C6" w:rsidRPr="00591D51">
          <w:rPr>
            <w:rStyle w:val="Hyperlink"/>
            <w:sz w:val="18"/>
            <w:szCs w:val="18"/>
            <w:shd w:val="clear" w:color="auto" w:fill="FFFFFF"/>
          </w:rPr>
          <w:t xml:space="preserve">ork </w:t>
        </w:r>
        <w:r w:rsidR="001A05D8" w:rsidRPr="00591D51">
          <w:rPr>
            <w:rStyle w:val="Hyperlink"/>
            <w:sz w:val="18"/>
            <w:szCs w:val="18"/>
            <w:shd w:val="clear" w:color="auto" w:fill="FFFFFF"/>
          </w:rPr>
          <w:t>H</w:t>
        </w:r>
        <w:r w:rsidR="008653C6" w:rsidRPr="00591D51">
          <w:rPr>
            <w:rStyle w:val="Hyperlink"/>
            <w:sz w:val="18"/>
            <w:szCs w:val="18"/>
            <w:shd w:val="clear" w:color="auto" w:fill="FFFFFF"/>
          </w:rPr>
          <w:t xml:space="preserve">ealth and </w:t>
        </w:r>
        <w:r w:rsidR="001A05D8" w:rsidRPr="00591D51">
          <w:rPr>
            <w:rStyle w:val="Hyperlink"/>
            <w:sz w:val="18"/>
            <w:szCs w:val="18"/>
            <w:shd w:val="clear" w:color="auto" w:fill="FFFFFF"/>
          </w:rPr>
          <w:t>S</w:t>
        </w:r>
        <w:r w:rsidR="008653C6" w:rsidRPr="00591D51">
          <w:rPr>
            <w:rStyle w:val="Hyperlink"/>
            <w:sz w:val="18"/>
            <w:szCs w:val="18"/>
            <w:shd w:val="clear" w:color="auto" w:fill="FFFFFF"/>
          </w:rPr>
          <w:t xml:space="preserve">afety </w:t>
        </w:r>
        <w:r w:rsidR="001A05D8" w:rsidRPr="00591D51">
          <w:rPr>
            <w:rStyle w:val="Hyperlink"/>
            <w:sz w:val="18"/>
            <w:szCs w:val="18"/>
            <w:shd w:val="clear" w:color="auto" w:fill="FFFFFF"/>
          </w:rPr>
          <w:t>S</w:t>
        </w:r>
        <w:r w:rsidR="008653C6" w:rsidRPr="00591D51">
          <w:rPr>
            <w:rStyle w:val="Hyperlink"/>
            <w:sz w:val="18"/>
            <w:szCs w:val="18"/>
            <w:shd w:val="clear" w:color="auto" w:fill="FFFFFF"/>
          </w:rPr>
          <w:t>tatistics, Australia 2021</w:t>
        </w:r>
      </w:hyperlink>
      <w:r w:rsidR="00F4476C" w:rsidRPr="00591D51">
        <w:rPr>
          <w:color w:val="242424"/>
          <w:sz w:val="18"/>
          <w:szCs w:val="18"/>
          <w:shd w:val="clear" w:color="auto" w:fill="FFFFFF"/>
        </w:rPr>
        <w:t xml:space="preserve">. </w:t>
      </w:r>
      <w:r w:rsidR="00EB065F" w:rsidRPr="00591D51">
        <w:rPr>
          <w:color w:val="242424"/>
          <w:sz w:val="18"/>
          <w:szCs w:val="18"/>
          <w:shd w:val="clear" w:color="auto" w:fill="FFFFFF"/>
        </w:rPr>
        <w:t>A serious workers compensation claim is a</w:t>
      </w:r>
      <w:r w:rsidR="00A843D4" w:rsidRPr="00591D51">
        <w:rPr>
          <w:color w:val="242424"/>
          <w:sz w:val="18"/>
          <w:szCs w:val="18"/>
          <w:shd w:val="clear" w:color="auto" w:fill="FFFFFF"/>
        </w:rPr>
        <w:t xml:space="preserve">n accepted claim resulting in </w:t>
      </w:r>
      <w:r w:rsidR="00A843D4" w:rsidRPr="00591D51">
        <w:rPr>
          <w:sz w:val="18"/>
          <w:szCs w:val="18"/>
        </w:rPr>
        <w:t>a total absence from work of one working week or more.</w:t>
      </w:r>
      <w:r w:rsidR="008D7610" w:rsidRPr="00591D51">
        <w:rPr>
          <w:sz w:val="18"/>
          <w:szCs w:val="18"/>
        </w:rPr>
        <w:t xml:space="preserve"> Safe Work Australia notes th</w:t>
      </w:r>
      <w:r w:rsidR="007A7DCB" w:rsidRPr="00591D51">
        <w:rPr>
          <w:sz w:val="18"/>
          <w:szCs w:val="18"/>
        </w:rPr>
        <w:t>at</w:t>
      </w:r>
      <w:r w:rsidR="008D7610" w:rsidRPr="00591D51">
        <w:rPr>
          <w:sz w:val="18"/>
          <w:szCs w:val="18"/>
        </w:rPr>
        <w:t xml:space="preserve"> workers’ compensation data only gives a limited picture of work-related injuries and disease because workers’ compensation schemes do not generally cover self-employed workers. See Safe Work Australia (SWA), </w:t>
      </w:r>
      <w:hyperlink r:id="rId5" w:history="1">
        <w:r w:rsidR="008D7610" w:rsidRPr="00591D51">
          <w:rPr>
            <w:rStyle w:val="Hyperlink"/>
            <w:sz w:val="18"/>
            <w:szCs w:val="18"/>
          </w:rPr>
          <w:t xml:space="preserve">Explanatory </w:t>
        </w:r>
        <w:r w:rsidR="009C5AB1" w:rsidRPr="00591D51">
          <w:rPr>
            <w:rStyle w:val="Hyperlink"/>
            <w:sz w:val="18"/>
            <w:szCs w:val="18"/>
          </w:rPr>
          <w:t>N</w:t>
        </w:r>
        <w:r w:rsidR="008D7610" w:rsidRPr="00591D51">
          <w:rPr>
            <w:rStyle w:val="Hyperlink"/>
            <w:sz w:val="18"/>
            <w:szCs w:val="18"/>
          </w:rPr>
          <w:t>otes: National Data Set for Compensation-Based Statistics for Safe Work Australia 2020</w:t>
        </w:r>
      </w:hyperlink>
      <w:r w:rsidR="008D7610" w:rsidRPr="00591D51">
        <w:rPr>
          <w:sz w:val="18"/>
          <w:szCs w:val="18"/>
        </w:rPr>
        <w:t xml:space="preserve">, p. 1. </w:t>
      </w:r>
    </w:p>
  </w:footnote>
  <w:footnote w:id="5">
    <w:p w14:paraId="3F293079" w14:textId="4C9BAAA3" w:rsidR="008653C6" w:rsidRPr="00496F1B" w:rsidRDefault="008653C6" w:rsidP="00496F1B">
      <w:pPr>
        <w:pStyle w:val="FootnoteText"/>
        <w:spacing w:before="0" w:after="0" w:line="240" w:lineRule="auto"/>
        <w:rPr>
          <w:sz w:val="20"/>
          <w:szCs w:val="20"/>
        </w:rPr>
      </w:pPr>
      <w:r w:rsidRPr="00496F1B">
        <w:rPr>
          <w:rStyle w:val="FootnoteReference"/>
          <w:sz w:val="20"/>
          <w:szCs w:val="20"/>
        </w:rPr>
        <w:footnoteRef/>
      </w:r>
      <w:r w:rsidRPr="00496F1B">
        <w:rPr>
          <w:sz w:val="20"/>
          <w:szCs w:val="20"/>
        </w:rPr>
        <w:t xml:space="preserve"> </w:t>
      </w:r>
      <w:r w:rsidRPr="00591D51">
        <w:rPr>
          <w:sz w:val="18"/>
          <w:szCs w:val="18"/>
        </w:rPr>
        <w:t xml:space="preserve">Safe Work Australia (SWA), </w:t>
      </w:r>
      <w:hyperlink r:id="rId6" w:history="1">
        <w:r w:rsidRPr="00591D51">
          <w:rPr>
            <w:rStyle w:val="Hyperlink"/>
            <w:sz w:val="18"/>
            <w:szCs w:val="18"/>
          </w:rPr>
          <w:t>Statistics on Work-Related Musculoskeletal Disorders</w:t>
        </w:r>
      </w:hyperlink>
      <w:r w:rsidR="009D116F" w:rsidRPr="00591D51">
        <w:rPr>
          <w:rStyle w:val="Hyperlink"/>
          <w:sz w:val="18"/>
          <w:szCs w:val="18"/>
        </w:rPr>
        <w:t xml:space="preserve"> 2016</w:t>
      </w:r>
      <w:r w:rsidRPr="00591D51">
        <w:rPr>
          <w:sz w:val="18"/>
          <w:szCs w:val="18"/>
        </w:rPr>
        <w:t>, p. 5.</w:t>
      </w:r>
      <w:r w:rsidRPr="00496F1B">
        <w:rPr>
          <w:sz w:val="20"/>
          <w:szCs w:val="20"/>
        </w:rPr>
        <w:t xml:space="preserve">    </w:t>
      </w:r>
    </w:p>
  </w:footnote>
  <w:footnote w:id="6">
    <w:p w14:paraId="34BAFCD9" w14:textId="5E9852E7" w:rsidR="00A0186A" w:rsidRPr="00591D51" w:rsidRDefault="00A0186A" w:rsidP="00496F1B">
      <w:pPr>
        <w:pStyle w:val="FootnoteText"/>
        <w:spacing w:before="0" w:after="0" w:line="240" w:lineRule="auto"/>
        <w:rPr>
          <w:sz w:val="18"/>
          <w:szCs w:val="18"/>
        </w:rPr>
      </w:pPr>
      <w:r w:rsidRPr="00496F1B">
        <w:rPr>
          <w:rStyle w:val="FootnoteReference"/>
          <w:sz w:val="20"/>
          <w:szCs w:val="20"/>
        </w:rPr>
        <w:footnoteRef/>
      </w:r>
      <w:r w:rsidRPr="00496F1B">
        <w:rPr>
          <w:sz w:val="20"/>
          <w:szCs w:val="20"/>
        </w:rPr>
        <w:t xml:space="preserve"> </w:t>
      </w:r>
      <w:r w:rsidR="001A05D8" w:rsidRPr="00591D51">
        <w:rPr>
          <w:sz w:val="18"/>
          <w:szCs w:val="18"/>
        </w:rPr>
        <w:t xml:space="preserve">Safe Work Australia (SWA), </w:t>
      </w:r>
      <w:hyperlink r:id="rId7" w:history="1">
        <w:r w:rsidR="001A05D8" w:rsidRPr="00591D51">
          <w:rPr>
            <w:rStyle w:val="Hyperlink"/>
            <w:sz w:val="18"/>
            <w:szCs w:val="18"/>
          </w:rPr>
          <w:t>Work-related Musculoskeletal Disorders in Australia 2019</w:t>
        </w:r>
      </w:hyperlink>
      <w:r w:rsidR="001A05D8" w:rsidRPr="00591D51">
        <w:rPr>
          <w:sz w:val="18"/>
          <w:szCs w:val="18"/>
        </w:rPr>
        <w:t>, p</w:t>
      </w:r>
      <w:r w:rsidR="001C363B" w:rsidRPr="00591D51">
        <w:rPr>
          <w:sz w:val="18"/>
          <w:szCs w:val="18"/>
        </w:rPr>
        <w:t>p</w:t>
      </w:r>
      <w:r w:rsidR="001A05D8" w:rsidRPr="00591D51">
        <w:rPr>
          <w:sz w:val="18"/>
          <w:szCs w:val="18"/>
        </w:rPr>
        <w:t xml:space="preserve">. </w:t>
      </w:r>
      <w:r w:rsidR="001C363B" w:rsidRPr="00591D51">
        <w:rPr>
          <w:sz w:val="18"/>
          <w:szCs w:val="18"/>
        </w:rPr>
        <w:t>15-</w:t>
      </w:r>
      <w:r w:rsidR="001A05D8" w:rsidRPr="00591D51">
        <w:rPr>
          <w:sz w:val="18"/>
          <w:szCs w:val="18"/>
        </w:rPr>
        <w:t xml:space="preserve">16. </w:t>
      </w:r>
      <w:r w:rsidR="00A475F2" w:rsidRPr="00591D51">
        <w:rPr>
          <w:sz w:val="18"/>
          <w:szCs w:val="18"/>
        </w:rPr>
        <w:t xml:space="preserve">The frequency rate of serious MSD claims </w:t>
      </w:r>
      <w:r w:rsidR="00B205BE" w:rsidRPr="00591D51">
        <w:rPr>
          <w:sz w:val="18"/>
          <w:szCs w:val="18"/>
        </w:rPr>
        <w:t xml:space="preserve">between 2011-12 and 2015-16 was </w:t>
      </w:r>
      <w:r w:rsidR="00244E10" w:rsidRPr="00591D51">
        <w:rPr>
          <w:sz w:val="18"/>
          <w:szCs w:val="18"/>
        </w:rPr>
        <w:t xml:space="preserve">3.8. </w:t>
      </w:r>
      <w:r w:rsidR="00480136" w:rsidRPr="00591D51">
        <w:rPr>
          <w:sz w:val="18"/>
          <w:szCs w:val="18"/>
        </w:rPr>
        <w:t xml:space="preserve">See </w:t>
      </w:r>
      <w:r w:rsidR="00244E10" w:rsidRPr="00591D51">
        <w:rPr>
          <w:sz w:val="18"/>
          <w:szCs w:val="18"/>
        </w:rPr>
        <w:t xml:space="preserve">p. 48. </w:t>
      </w:r>
    </w:p>
  </w:footnote>
  <w:footnote w:id="7">
    <w:p w14:paraId="7214E1A1" w14:textId="736F4A68" w:rsidR="00117FA2" w:rsidRPr="00496F1B" w:rsidRDefault="00117FA2" w:rsidP="00496F1B">
      <w:pPr>
        <w:pStyle w:val="FootnoteText"/>
        <w:spacing w:before="0" w:after="0" w:line="240" w:lineRule="auto"/>
        <w:rPr>
          <w:sz w:val="20"/>
          <w:szCs w:val="20"/>
        </w:rPr>
      </w:pPr>
      <w:r w:rsidRPr="00496F1B">
        <w:rPr>
          <w:rStyle w:val="FootnoteReference"/>
          <w:sz w:val="20"/>
          <w:szCs w:val="20"/>
        </w:rPr>
        <w:footnoteRef/>
      </w:r>
      <w:r w:rsidRPr="00496F1B">
        <w:rPr>
          <w:sz w:val="20"/>
          <w:szCs w:val="20"/>
        </w:rPr>
        <w:t xml:space="preserve"> </w:t>
      </w:r>
      <w:r w:rsidRPr="00591D51">
        <w:rPr>
          <w:sz w:val="18"/>
          <w:szCs w:val="18"/>
        </w:rPr>
        <w:t xml:space="preserve">Safe Work Australia (SWA), </w:t>
      </w:r>
      <w:hyperlink r:id="rId8" w:history="1">
        <w:r w:rsidRPr="00591D51">
          <w:rPr>
            <w:rStyle w:val="Hyperlink"/>
            <w:sz w:val="18"/>
            <w:szCs w:val="18"/>
          </w:rPr>
          <w:t>Work-related Musculoskeletal Disorders in Australia 2019</w:t>
        </w:r>
      </w:hyperlink>
      <w:r w:rsidRPr="00591D51">
        <w:rPr>
          <w:sz w:val="18"/>
          <w:szCs w:val="18"/>
        </w:rPr>
        <w:t>, p. 48.</w:t>
      </w:r>
    </w:p>
  </w:footnote>
  <w:footnote w:id="8">
    <w:p w14:paraId="3F87B98F" w14:textId="77777777" w:rsidR="00F22725" w:rsidRPr="00496F1B" w:rsidRDefault="00F22725" w:rsidP="00F22725">
      <w:pPr>
        <w:shd w:val="clear" w:color="auto" w:fill="FFFFFF"/>
        <w:spacing w:before="0" w:after="0" w:line="240" w:lineRule="auto"/>
        <w:rPr>
          <w:sz w:val="20"/>
          <w:szCs w:val="20"/>
        </w:rPr>
      </w:pPr>
      <w:r w:rsidRPr="00496F1B">
        <w:rPr>
          <w:rStyle w:val="FootnoteReference"/>
          <w:sz w:val="20"/>
          <w:szCs w:val="20"/>
        </w:rPr>
        <w:footnoteRef/>
      </w:r>
      <w:r w:rsidRPr="00496F1B">
        <w:rPr>
          <w:sz w:val="20"/>
          <w:szCs w:val="20"/>
        </w:rPr>
        <w:t xml:space="preserve"> For details on the </w:t>
      </w:r>
      <w:r w:rsidRPr="00496F1B">
        <w:rPr>
          <w:rFonts w:eastAsia="Times New Roman" w:cs="Segoe UI"/>
          <w:color w:val="000000"/>
          <w:sz w:val="20"/>
          <w:szCs w:val="20"/>
          <w:lang w:eastAsia="en-AU"/>
        </w:rPr>
        <w:t xml:space="preserve">ANZSCO </w:t>
      </w:r>
      <w:r>
        <w:rPr>
          <w:rFonts w:eastAsia="Times New Roman" w:cs="Segoe UI"/>
          <w:color w:val="000000"/>
          <w:sz w:val="20"/>
          <w:szCs w:val="20"/>
          <w:lang w:eastAsia="en-AU"/>
        </w:rPr>
        <w:t xml:space="preserve">classifications </w:t>
      </w:r>
      <w:r w:rsidRPr="00496F1B">
        <w:rPr>
          <w:rFonts w:eastAsia="Times New Roman" w:cs="Segoe UI"/>
          <w:color w:val="000000"/>
          <w:sz w:val="20"/>
          <w:szCs w:val="20"/>
          <w:lang w:eastAsia="en-AU"/>
        </w:rPr>
        <w:t xml:space="preserve">used here see the Australian Bureau of Statistics (ABS), </w:t>
      </w:r>
      <w:hyperlink r:id="rId9" w:history="1">
        <w:r w:rsidRPr="00496F1B">
          <w:rPr>
            <w:rStyle w:val="Hyperlink"/>
            <w:sz w:val="20"/>
            <w:szCs w:val="20"/>
          </w:rPr>
          <w:t>ANZSCO - Australian and New Zealand Standard Classification of Occupations, 2021</w:t>
        </w:r>
      </w:hyperlink>
      <w:r w:rsidRPr="00496F1B">
        <w:rPr>
          <w:sz w:val="20"/>
          <w:szCs w:val="20"/>
        </w:rPr>
        <w:t xml:space="preserve">. </w:t>
      </w:r>
      <w:r>
        <w:rPr>
          <w:sz w:val="20"/>
          <w:szCs w:val="20"/>
        </w:rPr>
        <w:t xml:space="preserve">ANZCO divides occupations into 8 major groups and 43 sub-major groups. </w:t>
      </w:r>
    </w:p>
  </w:footnote>
  <w:footnote w:id="9">
    <w:p w14:paraId="54E680C2" w14:textId="77777777" w:rsidR="00F22725" w:rsidRPr="00496F1B" w:rsidRDefault="00F22725" w:rsidP="00F22725">
      <w:pPr>
        <w:pStyle w:val="FootnoteText"/>
        <w:spacing w:before="0" w:after="0" w:line="240" w:lineRule="auto"/>
        <w:rPr>
          <w:sz w:val="20"/>
          <w:szCs w:val="20"/>
        </w:rPr>
      </w:pPr>
      <w:r w:rsidRPr="00496F1B">
        <w:rPr>
          <w:rStyle w:val="FootnoteReference"/>
          <w:sz w:val="20"/>
          <w:szCs w:val="20"/>
        </w:rPr>
        <w:footnoteRef/>
      </w:r>
      <w:r w:rsidRPr="00496F1B">
        <w:rPr>
          <w:sz w:val="20"/>
          <w:szCs w:val="20"/>
        </w:rPr>
        <w:t xml:space="preserve"> Safe Work Australia (SWA), </w:t>
      </w:r>
      <w:hyperlink r:id="rId10" w:history="1">
        <w:r w:rsidRPr="00496F1B">
          <w:rPr>
            <w:rStyle w:val="Hyperlink"/>
            <w:sz w:val="20"/>
            <w:szCs w:val="20"/>
          </w:rPr>
          <w:t>Statistics on Work-Related Musculoskeletal Disorders</w:t>
        </w:r>
      </w:hyperlink>
      <w:r w:rsidRPr="00496F1B">
        <w:rPr>
          <w:rStyle w:val="Hyperlink"/>
          <w:sz w:val="20"/>
          <w:szCs w:val="20"/>
        </w:rPr>
        <w:t xml:space="preserve"> 2016</w:t>
      </w:r>
      <w:r w:rsidRPr="00496F1B">
        <w:rPr>
          <w:sz w:val="20"/>
          <w:szCs w:val="20"/>
        </w:rPr>
        <w:t xml:space="preserve">, 7-8. </w:t>
      </w:r>
    </w:p>
  </w:footnote>
  <w:footnote w:id="10">
    <w:p w14:paraId="67E69722" w14:textId="50119909" w:rsidR="004D34C1" w:rsidRPr="00591D51" w:rsidRDefault="004D34C1" w:rsidP="00496F1B">
      <w:pPr>
        <w:pStyle w:val="FootnoteText"/>
        <w:spacing w:before="0" w:after="0" w:line="240" w:lineRule="auto"/>
        <w:rPr>
          <w:sz w:val="18"/>
          <w:szCs w:val="18"/>
        </w:rPr>
      </w:pPr>
      <w:r w:rsidRPr="00496F1B">
        <w:rPr>
          <w:rStyle w:val="FootnoteReference"/>
          <w:sz w:val="20"/>
          <w:szCs w:val="20"/>
        </w:rPr>
        <w:footnoteRef/>
      </w:r>
      <w:r w:rsidRPr="00496F1B">
        <w:rPr>
          <w:sz w:val="20"/>
          <w:szCs w:val="20"/>
        </w:rPr>
        <w:t xml:space="preserve"> </w:t>
      </w:r>
      <w:r w:rsidRPr="00591D51">
        <w:rPr>
          <w:sz w:val="18"/>
          <w:szCs w:val="18"/>
        </w:rPr>
        <w:t>ACT workers’ compensation data is provided to WorkSafe</w:t>
      </w:r>
      <w:r w:rsidR="001C363B" w:rsidRPr="00591D51">
        <w:rPr>
          <w:sz w:val="18"/>
          <w:szCs w:val="18"/>
        </w:rPr>
        <w:t xml:space="preserve"> ACT</w:t>
      </w:r>
      <w:r w:rsidRPr="00591D51">
        <w:rPr>
          <w:sz w:val="18"/>
          <w:szCs w:val="18"/>
        </w:rPr>
        <w:t xml:space="preserve"> by</w:t>
      </w:r>
      <w:r w:rsidR="001C363B" w:rsidRPr="00591D51">
        <w:rPr>
          <w:sz w:val="18"/>
          <w:szCs w:val="18"/>
        </w:rPr>
        <w:t xml:space="preserve"> CMTTED’s</w:t>
      </w:r>
      <w:r w:rsidRPr="00591D51">
        <w:rPr>
          <w:sz w:val="18"/>
          <w:szCs w:val="18"/>
        </w:rPr>
        <w:t xml:space="preserve"> </w:t>
      </w:r>
      <w:hyperlink r:id="rId11" w:history="1">
        <w:r w:rsidRPr="00591D51">
          <w:rPr>
            <w:rStyle w:val="Hyperlink"/>
            <w:sz w:val="18"/>
            <w:szCs w:val="18"/>
          </w:rPr>
          <w:t>Workers</w:t>
        </w:r>
        <w:r w:rsidR="008B501B" w:rsidRPr="00591D51">
          <w:rPr>
            <w:rStyle w:val="Hyperlink"/>
            <w:sz w:val="18"/>
            <w:szCs w:val="18"/>
          </w:rPr>
          <w:t>’</w:t>
        </w:r>
        <w:r w:rsidRPr="00591D51">
          <w:rPr>
            <w:rStyle w:val="Hyperlink"/>
            <w:sz w:val="18"/>
            <w:szCs w:val="18"/>
          </w:rPr>
          <w:t xml:space="preserve"> Safety and Industrial Relation</w:t>
        </w:r>
        <w:r w:rsidR="00F20ACB" w:rsidRPr="00591D51">
          <w:rPr>
            <w:rStyle w:val="Hyperlink"/>
            <w:sz w:val="18"/>
            <w:szCs w:val="18"/>
          </w:rPr>
          <w:t>s</w:t>
        </w:r>
        <w:r w:rsidRPr="00591D51">
          <w:rPr>
            <w:rStyle w:val="Hyperlink"/>
            <w:sz w:val="18"/>
            <w:szCs w:val="18"/>
          </w:rPr>
          <w:t xml:space="preserve"> Division</w:t>
        </w:r>
      </w:hyperlink>
      <w:r w:rsidRPr="00591D51">
        <w:rPr>
          <w:sz w:val="18"/>
          <w:szCs w:val="18"/>
        </w:rPr>
        <w:t xml:space="preserve">.  </w:t>
      </w:r>
    </w:p>
  </w:footnote>
  <w:footnote w:id="11">
    <w:p w14:paraId="0EBEB162" w14:textId="350E9E07" w:rsidR="00C05361" w:rsidRPr="00496F1B" w:rsidRDefault="00C05361" w:rsidP="00496F1B">
      <w:pPr>
        <w:pStyle w:val="FootnoteText"/>
        <w:spacing w:before="0" w:after="0" w:line="240" w:lineRule="auto"/>
        <w:rPr>
          <w:sz w:val="20"/>
          <w:szCs w:val="20"/>
        </w:rPr>
      </w:pPr>
      <w:r w:rsidRPr="00496F1B">
        <w:rPr>
          <w:rStyle w:val="FootnoteReference"/>
          <w:sz w:val="20"/>
          <w:szCs w:val="20"/>
        </w:rPr>
        <w:footnoteRef/>
      </w:r>
      <w:r w:rsidRPr="00496F1B">
        <w:rPr>
          <w:sz w:val="20"/>
          <w:szCs w:val="20"/>
        </w:rPr>
        <w:t xml:space="preserve"> </w:t>
      </w:r>
      <w:r w:rsidRPr="00E93EBA">
        <w:rPr>
          <w:sz w:val="18"/>
          <w:szCs w:val="18"/>
        </w:rPr>
        <w:t xml:space="preserve">For relevant discussion see Safe Work Australia (SWA), </w:t>
      </w:r>
      <w:hyperlink r:id="rId12" w:history="1">
        <w:r w:rsidRPr="00E93EBA">
          <w:rPr>
            <w:rStyle w:val="Hyperlink"/>
            <w:sz w:val="18"/>
            <w:szCs w:val="18"/>
          </w:rPr>
          <w:t>Work-related Musculoskeletal Disorders in Australia 2019</w:t>
        </w:r>
      </w:hyperlink>
      <w:r w:rsidRPr="00E93EBA">
        <w:rPr>
          <w:sz w:val="18"/>
          <w:szCs w:val="18"/>
        </w:rPr>
        <w:t xml:space="preserve">, </w:t>
      </w:r>
      <w:r w:rsidR="001C363B" w:rsidRPr="00E93EBA">
        <w:rPr>
          <w:sz w:val="18"/>
          <w:szCs w:val="18"/>
        </w:rPr>
        <w:t>p</w:t>
      </w:r>
      <w:r w:rsidRPr="00E93EBA">
        <w:rPr>
          <w:sz w:val="18"/>
          <w:szCs w:val="18"/>
        </w:rPr>
        <w:t>p. 6 &amp; 25-3</w:t>
      </w:r>
      <w:r w:rsidR="005332D7" w:rsidRPr="00E93EBA">
        <w:rPr>
          <w:sz w:val="18"/>
          <w:szCs w:val="18"/>
        </w:rPr>
        <w:t>2.</w:t>
      </w:r>
      <w:r w:rsidR="005332D7" w:rsidRPr="00496F1B">
        <w:rPr>
          <w:sz w:val="20"/>
          <w:szCs w:val="20"/>
        </w:rPr>
        <w:t xml:space="preserve"> </w:t>
      </w:r>
    </w:p>
  </w:footnote>
  <w:footnote w:id="12">
    <w:p w14:paraId="7B6A5646" w14:textId="77777777" w:rsidR="00F22725" w:rsidRPr="00496F1B" w:rsidRDefault="00F22725" w:rsidP="00F22725">
      <w:pPr>
        <w:pStyle w:val="FootnoteText"/>
        <w:spacing w:before="0" w:after="0" w:line="240" w:lineRule="auto"/>
        <w:rPr>
          <w:sz w:val="20"/>
          <w:szCs w:val="20"/>
        </w:rPr>
      </w:pPr>
      <w:r w:rsidRPr="00496F1B">
        <w:rPr>
          <w:rStyle w:val="FootnoteReference"/>
          <w:sz w:val="20"/>
          <w:szCs w:val="20"/>
        </w:rPr>
        <w:footnoteRef/>
      </w:r>
      <w:r w:rsidRPr="00496F1B">
        <w:rPr>
          <w:sz w:val="20"/>
          <w:szCs w:val="20"/>
        </w:rPr>
        <w:t xml:space="preserve"> Australian Bureau of Statistics (ABS), </w:t>
      </w:r>
      <w:hyperlink r:id="rId13" w:history="1">
        <w:r w:rsidRPr="00496F1B">
          <w:rPr>
            <w:rStyle w:val="Hyperlink"/>
            <w:sz w:val="20"/>
            <w:szCs w:val="20"/>
          </w:rPr>
          <w:t xml:space="preserve">2016 Census </w:t>
        </w:r>
        <w:proofErr w:type="spellStart"/>
        <w:r w:rsidRPr="00496F1B">
          <w:rPr>
            <w:rStyle w:val="Hyperlink"/>
            <w:sz w:val="20"/>
            <w:szCs w:val="20"/>
          </w:rPr>
          <w:t>QuickStats</w:t>
        </w:r>
        <w:proofErr w:type="spellEnd"/>
        <w:r w:rsidRPr="00496F1B">
          <w:rPr>
            <w:rStyle w:val="Hyperlink"/>
            <w:sz w:val="20"/>
            <w:szCs w:val="20"/>
          </w:rPr>
          <w:t xml:space="preserve">: Australian Capital Territory. </w:t>
        </w:r>
      </w:hyperlink>
      <w:r w:rsidRPr="00496F1B">
        <w:rPr>
          <w:sz w:val="20"/>
          <w:szCs w:val="20"/>
        </w:rPr>
        <w:t xml:space="preserve"> </w:t>
      </w:r>
    </w:p>
  </w:footnote>
  <w:footnote w:id="13">
    <w:p w14:paraId="6119BB42" w14:textId="77777777" w:rsidR="00D115FC" w:rsidRPr="00496F1B" w:rsidRDefault="00D115FC" w:rsidP="00D115FC">
      <w:pPr>
        <w:shd w:val="clear" w:color="auto" w:fill="FFFFFF"/>
        <w:spacing w:before="0" w:after="0" w:line="240" w:lineRule="auto"/>
        <w:rPr>
          <w:sz w:val="20"/>
          <w:szCs w:val="20"/>
        </w:rPr>
      </w:pPr>
      <w:r w:rsidRPr="00496F1B">
        <w:rPr>
          <w:rStyle w:val="FootnoteReference"/>
          <w:sz w:val="20"/>
          <w:szCs w:val="20"/>
        </w:rPr>
        <w:footnoteRef/>
      </w:r>
      <w:r w:rsidRPr="00496F1B">
        <w:rPr>
          <w:sz w:val="20"/>
          <w:szCs w:val="20"/>
        </w:rPr>
        <w:t xml:space="preserve"> The occupation sub-</w:t>
      </w:r>
      <w:r>
        <w:rPr>
          <w:sz w:val="20"/>
          <w:szCs w:val="20"/>
        </w:rPr>
        <w:t>group ‘o</w:t>
      </w:r>
      <w:r w:rsidRPr="00496F1B">
        <w:rPr>
          <w:sz w:val="20"/>
          <w:szCs w:val="20"/>
        </w:rPr>
        <w:t xml:space="preserve">ther </w:t>
      </w:r>
      <w:r>
        <w:rPr>
          <w:sz w:val="20"/>
          <w:szCs w:val="20"/>
        </w:rPr>
        <w:t>l</w:t>
      </w:r>
      <w:r w:rsidRPr="00496F1B">
        <w:rPr>
          <w:sz w:val="20"/>
          <w:szCs w:val="20"/>
        </w:rPr>
        <w:t>abourers</w:t>
      </w:r>
      <w:r>
        <w:rPr>
          <w:sz w:val="20"/>
          <w:szCs w:val="20"/>
        </w:rPr>
        <w:t>’</w:t>
      </w:r>
      <w:r w:rsidRPr="00496F1B">
        <w:rPr>
          <w:sz w:val="20"/>
          <w:szCs w:val="20"/>
        </w:rPr>
        <w:t xml:space="preserve"> includes </w:t>
      </w:r>
      <w:r>
        <w:rPr>
          <w:sz w:val="20"/>
          <w:szCs w:val="20"/>
        </w:rPr>
        <w:t>f</w:t>
      </w:r>
      <w:r w:rsidRPr="00496F1B">
        <w:rPr>
          <w:sz w:val="20"/>
          <w:szCs w:val="20"/>
        </w:rPr>
        <w:t xml:space="preserve">reight </w:t>
      </w:r>
      <w:r>
        <w:rPr>
          <w:sz w:val="20"/>
          <w:szCs w:val="20"/>
        </w:rPr>
        <w:t>h</w:t>
      </w:r>
      <w:r w:rsidRPr="00496F1B">
        <w:rPr>
          <w:sz w:val="20"/>
          <w:szCs w:val="20"/>
        </w:rPr>
        <w:t xml:space="preserve">andlers and </w:t>
      </w:r>
      <w:r>
        <w:rPr>
          <w:sz w:val="20"/>
          <w:szCs w:val="20"/>
        </w:rPr>
        <w:t>s</w:t>
      </w:r>
      <w:r w:rsidRPr="00496F1B">
        <w:rPr>
          <w:sz w:val="20"/>
          <w:szCs w:val="20"/>
        </w:rPr>
        <w:t xml:space="preserve">helf </w:t>
      </w:r>
      <w:r>
        <w:rPr>
          <w:sz w:val="20"/>
          <w:szCs w:val="20"/>
        </w:rPr>
        <w:t>f</w:t>
      </w:r>
      <w:r w:rsidRPr="00496F1B">
        <w:rPr>
          <w:sz w:val="20"/>
          <w:szCs w:val="20"/>
        </w:rPr>
        <w:t xml:space="preserve">illers and </w:t>
      </w:r>
      <w:r>
        <w:rPr>
          <w:sz w:val="20"/>
          <w:szCs w:val="20"/>
        </w:rPr>
        <w:t>m</w:t>
      </w:r>
      <w:r w:rsidRPr="00496F1B">
        <w:rPr>
          <w:sz w:val="20"/>
          <w:szCs w:val="20"/>
        </w:rPr>
        <w:t xml:space="preserve">iscellaneous </w:t>
      </w:r>
      <w:r>
        <w:rPr>
          <w:sz w:val="20"/>
          <w:szCs w:val="20"/>
        </w:rPr>
        <w:t>l</w:t>
      </w:r>
      <w:r w:rsidRPr="00496F1B">
        <w:rPr>
          <w:sz w:val="20"/>
          <w:szCs w:val="20"/>
        </w:rPr>
        <w:t>abourers</w:t>
      </w:r>
      <w:r>
        <w:rPr>
          <w:sz w:val="20"/>
          <w:szCs w:val="20"/>
        </w:rPr>
        <w:t xml:space="preserve"> (a category which includes, among others, recycling and rubbish collectors, caretakers and handypersons.) See </w:t>
      </w:r>
      <w:r w:rsidRPr="004E2177">
        <w:rPr>
          <w:rFonts w:eastAsia="Times New Roman" w:cs="Segoe UI"/>
          <w:color w:val="000000"/>
          <w:sz w:val="20"/>
          <w:szCs w:val="20"/>
          <w:lang w:eastAsia="en-AU"/>
        </w:rPr>
        <w:t xml:space="preserve">Australian Bureau of Statistics (ABS), </w:t>
      </w:r>
      <w:hyperlink r:id="rId14" w:history="1">
        <w:r w:rsidRPr="004E2177">
          <w:rPr>
            <w:rStyle w:val="Hyperlink"/>
            <w:sz w:val="20"/>
            <w:szCs w:val="20"/>
          </w:rPr>
          <w:t>ANZSCO - Australian and New Zealand Standard Classification of Occupations, 2021</w:t>
        </w:r>
      </w:hyperlink>
      <w:r w:rsidRPr="004E2177">
        <w:rPr>
          <w:sz w:val="20"/>
          <w:szCs w:val="20"/>
        </w:rPr>
        <w:t>.</w:t>
      </w:r>
      <w:r w:rsidRPr="00496F1B">
        <w:rPr>
          <w:sz w:val="20"/>
          <w:szCs w:val="20"/>
        </w:rPr>
        <w:t xml:space="preserve"> </w:t>
      </w:r>
    </w:p>
  </w:footnote>
  <w:footnote w:id="14">
    <w:p w14:paraId="1FE34EF4" w14:textId="6E949C2D" w:rsidR="00787391" w:rsidRPr="00496F1B" w:rsidRDefault="00787391" w:rsidP="00496F1B">
      <w:pPr>
        <w:pStyle w:val="FootnoteText"/>
        <w:spacing w:before="0" w:after="0" w:line="240" w:lineRule="auto"/>
        <w:rPr>
          <w:sz w:val="20"/>
          <w:szCs w:val="20"/>
        </w:rPr>
      </w:pPr>
      <w:r w:rsidRPr="00496F1B">
        <w:rPr>
          <w:rStyle w:val="FootnoteReference"/>
          <w:sz w:val="20"/>
          <w:szCs w:val="20"/>
        </w:rPr>
        <w:footnoteRef/>
      </w:r>
      <w:r w:rsidRPr="00496F1B">
        <w:rPr>
          <w:sz w:val="20"/>
          <w:szCs w:val="20"/>
        </w:rPr>
        <w:t xml:space="preserve"> </w:t>
      </w:r>
      <w:r w:rsidR="000B1B7A" w:rsidRPr="00496F1B">
        <w:rPr>
          <w:sz w:val="20"/>
          <w:szCs w:val="20"/>
        </w:rPr>
        <w:t xml:space="preserve">Safe Work Australia (SWA), </w:t>
      </w:r>
      <w:hyperlink r:id="rId15" w:history="1">
        <w:r w:rsidR="000B1B7A" w:rsidRPr="00496F1B">
          <w:rPr>
            <w:rStyle w:val="Hyperlink"/>
            <w:sz w:val="20"/>
            <w:szCs w:val="20"/>
          </w:rPr>
          <w:t>Statistics on Work-Related Musculoskeletal Disorders</w:t>
        </w:r>
      </w:hyperlink>
      <w:r w:rsidR="00401C52" w:rsidRPr="00496F1B">
        <w:rPr>
          <w:rStyle w:val="Hyperlink"/>
          <w:sz w:val="20"/>
          <w:szCs w:val="20"/>
        </w:rPr>
        <w:t xml:space="preserve"> 2016</w:t>
      </w:r>
      <w:r w:rsidR="00401C52" w:rsidRPr="00496F1B">
        <w:rPr>
          <w:sz w:val="20"/>
          <w:szCs w:val="20"/>
        </w:rPr>
        <w:t>, p.</w:t>
      </w:r>
      <w:r w:rsidR="000B1B7A" w:rsidRPr="00496F1B">
        <w:rPr>
          <w:sz w:val="20"/>
          <w:szCs w:val="20"/>
        </w:rPr>
        <w:t xml:space="preserve"> 10. </w:t>
      </w:r>
      <w:r w:rsidR="00B7275D" w:rsidRPr="00496F1B">
        <w:rPr>
          <w:sz w:val="20"/>
          <w:szCs w:val="20"/>
        </w:rPr>
        <w:t xml:space="preserve">The statistics in this report are for the period 2009-10 to 2013-14. More recent frequency rate figures are not available. More recent figures for </w:t>
      </w:r>
      <w:r w:rsidR="00926F40">
        <w:rPr>
          <w:sz w:val="20"/>
          <w:szCs w:val="20"/>
        </w:rPr>
        <w:t xml:space="preserve">the total </w:t>
      </w:r>
      <w:r w:rsidR="00B7275D" w:rsidRPr="00496F1B">
        <w:rPr>
          <w:sz w:val="20"/>
          <w:szCs w:val="20"/>
        </w:rPr>
        <w:t>number of MSD claims by industry are available</w:t>
      </w:r>
      <w:r w:rsidR="00926F40">
        <w:rPr>
          <w:sz w:val="20"/>
          <w:szCs w:val="20"/>
        </w:rPr>
        <w:t xml:space="preserve">. </w:t>
      </w:r>
      <w:r w:rsidR="001329BD" w:rsidRPr="00496F1B">
        <w:rPr>
          <w:sz w:val="20"/>
          <w:szCs w:val="20"/>
        </w:rPr>
        <w:t>The industries with the greatest number of MSD claims nationally</w:t>
      </w:r>
      <w:r w:rsidR="00B7275D">
        <w:rPr>
          <w:sz w:val="20"/>
          <w:szCs w:val="20"/>
        </w:rPr>
        <w:t xml:space="preserve"> </w:t>
      </w:r>
      <w:r w:rsidR="001329BD" w:rsidRPr="00496F1B">
        <w:rPr>
          <w:sz w:val="20"/>
          <w:szCs w:val="20"/>
        </w:rPr>
        <w:t>are</w:t>
      </w:r>
      <w:r w:rsidR="00066384" w:rsidRPr="00496F1B">
        <w:rPr>
          <w:sz w:val="20"/>
          <w:szCs w:val="20"/>
        </w:rPr>
        <w:t xml:space="preserve"> (in order)</w:t>
      </w:r>
      <w:r w:rsidR="001329BD" w:rsidRPr="00496F1B">
        <w:rPr>
          <w:sz w:val="20"/>
          <w:szCs w:val="20"/>
        </w:rPr>
        <w:t xml:space="preserve"> </w:t>
      </w:r>
      <w:r w:rsidR="00744CA3">
        <w:rPr>
          <w:sz w:val="20"/>
          <w:szCs w:val="20"/>
        </w:rPr>
        <w:t>healthcare</w:t>
      </w:r>
      <w:r w:rsidR="000B1B7A" w:rsidRPr="00496F1B">
        <w:rPr>
          <w:sz w:val="20"/>
          <w:szCs w:val="20"/>
        </w:rPr>
        <w:t xml:space="preserve"> and </w:t>
      </w:r>
      <w:r w:rsidR="00FB323D">
        <w:rPr>
          <w:sz w:val="20"/>
          <w:szCs w:val="20"/>
        </w:rPr>
        <w:t>s</w:t>
      </w:r>
      <w:r w:rsidR="000B1B7A" w:rsidRPr="00496F1B">
        <w:rPr>
          <w:sz w:val="20"/>
          <w:szCs w:val="20"/>
        </w:rPr>
        <w:t xml:space="preserve">ocial </w:t>
      </w:r>
      <w:r w:rsidR="00FB323D">
        <w:rPr>
          <w:sz w:val="20"/>
          <w:szCs w:val="20"/>
        </w:rPr>
        <w:t>a</w:t>
      </w:r>
      <w:r w:rsidR="000B1B7A" w:rsidRPr="00496F1B">
        <w:rPr>
          <w:sz w:val="20"/>
          <w:szCs w:val="20"/>
        </w:rPr>
        <w:t xml:space="preserve">ssistance, </w:t>
      </w:r>
      <w:r w:rsidR="00FB323D">
        <w:rPr>
          <w:sz w:val="20"/>
          <w:szCs w:val="20"/>
        </w:rPr>
        <w:t>m</w:t>
      </w:r>
      <w:r w:rsidR="000B1B7A" w:rsidRPr="00496F1B">
        <w:rPr>
          <w:sz w:val="20"/>
          <w:szCs w:val="20"/>
        </w:rPr>
        <w:t>anufacturing,</w:t>
      </w:r>
      <w:r w:rsidR="000272C9" w:rsidRPr="00496F1B">
        <w:rPr>
          <w:sz w:val="20"/>
          <w:szCs w:val="20"/>
        </w:rPr>
        <w:t xml:space="preserve"> </w:t>
      </w:r>
      <w:r w:rsidR="00FB323D">
        <w:rPr>
          <w:sz w:val="20"/>
          <w:szCs w:val="20"/>
        </w:rPr>
        <w:t>c</w:t>
      </w:r>
      <w:r w:rsidR="000B1B7A" w:rsidRPr="00496F1B">
        <w:rPr>
          <w:sz w:val="20"/>
          <w:szCs w:val="20"/>
        </w:rPr>
        <w:t>onstruction</w:t>
      </w:r>
      <w:r w:rsidR="00926F40">
        <w:rPr>
          <w:sz w:val="20"/>
          <w:szCs w:val="20"/>
        </w:rPr>
        <w:t>,</w:t>
      </w:r>
      <w:r w:rsidR="00B7275D">
        <w:rPr>
          <w:sz w:val="20"/>
          <w:szCs w:val="20"/>
        </w:rPr>
        <w:t xml:space="preserve"> and retail trade</w:t>
      </w:r>
      <w:r w:rsidR="000272C9" w:rsidRPr="00496F1B">
        <w:rPr>
          <w:sz w:val="20"/>
          <w:szCs w:val="20"/>
        </w:rPr>
        <w:t xml:space="preserve">. </w:t>
      </w:r>
      <w:hyperlink r:id="rId16" w:history="1">
        <w:r w:rsidR="00066384" w:rsidRPr="00496F1B">
          <w:rPr>
            <w:rStyle w:val="Hyperlink"/>
            <w:sz w:val="20"/>
            <w:szCs w:val="20"/>
          </w:rPr>
          <w:t>Work-related Musculoskeletal Disorders in Australia 2019</w:t>
        </w:r>
      </w:hyperlink>
      <w:r w:rsidR="00066384" w:rsidRPr="00496F1B">
        <w:rPr>
          <w:sz w:val="20"/>
          <w:szCs w:val="20"/>
        </w:rPr>
        <w:t xml:space="preserve">, 51-52. (These figures </w:t>
      </w:r>
      <w:r w:rsidR="00B7275D">
        <w:rPr>
          <w:sz w:val="20"/>
          <w:szCs w:val="20"/>
        </w:rPr>
        <w:t xml:space="preserve">are from the </w:t>
      </w:r>
      <w:r w:rsidR="00B7275D" w:rsidRPr="00496F1B">
        <w:rPr>
          <w:sz w:val="20"/>
          <w:szCs w:val="20"/>
        </w:rPr>
        <w:t>2015-16</w:t>
      </w:r>
      <w:r w:rsidR="00D478CE">
        <w:rPr>
          <w:sz w:val="20"/>
          <w:szCs w:val="20"/>
        </w:rPr>
        <w:t xml:space="preserve"> FY). </w:t>
      </w:r>
    </w:p>
  </w:footnote>
  <w:footnote w:id="15">
    <w:p w14:paraId="506FD316" w14:textId="336C3BD3" w:rsidR="00D115FC" w:rsidRDefault="00D115FC">
      <w:pPr>
        <w:pStyle w:val="FootnoteText"/>
      </w:pPr>
      <w:r>
        <w:rPr>
          <w:rStyle w:val="FootnoteReference"/>
        </w:rPr>
        <w:footnoteRef/>
      </w:r>
      <w:r>
        <w:t xml:space="preserve"> </w:t>
      </w:r>
      <w:r w:rsidRPr="00D115FC">
        <w:rPr>
          <w:sz w:val="20"/>
          <w:szCs w:val="20"/>
        </w:rPr>
        <w:t>Frequency rates, measured by the number of serious workers’ compensation claims per million hours worked, provide a more accurate measure of risk than the number of accepted serious claims by industry, given differences in the numbers of workers across different industries.</w:t>
      </w:r>
    </w:p>
  </w:footnote>
  <w:footnote w:id="16">
    <w:p w14:paraId="50198430" w14:textId="4C50D696" w:rsidR="00A40E08" w:rsidRPr="00496F1B" w:rsidRDefault="002B56D9" w:rsidP="00496F1B">
      <w:pPr>
        <w:pStyle w:val="Heading4"/>
        <w:shd w:val="clear" w:color="auto" w:fill="FFFFFF"/>
        <w:spacing w:before="0" w:after="0" w:line="240" w:lineRule="auto"/>
        <w:rPr>
          <w:rFonts w:cs="Segoe UI"/>
          <w:b w:val="0"/>
          <w:bCs/>
          <w:color w:val="000000"/>
          <w:sz w:val="20"/>
          <w:szCs w:val="20"/>
        </w:rPr>
      </w:pPr>
      <w:r w:rsidRPr="00496F1B">
        <w:rPr>
          <w:rStyle w:val="FootnoteReference"/>
          <w:sz w:val="20"/>
          <w:szCs w:val="20"/>
        </w:rPr>
        <w:footnoteRef/>
      </w:r>
      <w:r w:rsidRPr="00496F1B">
        <w:rPr>
          <w:sz w:val="20"/>
          <w:szCs w:val="20"/>
        </w:rPr>
        <w:t xml:space="preserve"> </w:t>
      </w:r>
      <w:r w:rsidRPr="00496F1B">
        <w:rPr>
          <w:rFonts w:cs="Segoe UI"/>
          <w:b w:val="0"/>
          <w:bCs/>
          <w:color w:val="000000"/>
          <w:sz w:val="20"/>
          <w:szCs w:val="20"/>
        </w:rPr>
        <w:t>Industry employment figures are taken from</w:t>
      </w:r>
      <w:r w:rsidR="00926F40">
        <w:rPr>
          <w:rFonts w:cs="Segoe UI"/>
          <w:b w:val="0"/>
          <w:bCs/>
          <w:color w:val="000000"/>
          <w:sz w:val="20"/>
          <w:szCs w:val="20"/>
        </w:rPr>
        <w:t xml:space="preserve"> the</w:t>
      </w:r>
      <w:r w:rsidRPr="00496F1B">
        <w:rPr>
          <w:rFonts w:cs="Segoe UI"/>
          <w:b w:val="0"/>
          <w:bCs/>
          <w:color w:val="000000"/>
          <w:sz w:val="20"/>
          <w:szCs w:val="20"/>
        </w:rPr>
        <w:t xml:space="preserve"> Australian Bureau of Statistics (ABS), </w:t>
      </w:r>
    </w:p>
    <w:p w14:paraId="662AA349" w14:textId="6ECAE2ED" w:rsidR="002B56D9" w:rsidRPr="00496F1B" w:rsidRDefault="00E84480" w:rsidP="00496F1B">
      <w:pPr>
        <w:pStyle w:val="Heading4"/>
        <w:shd w:val="clear" w:color="auto" w:fill="FFFFFF"/>
        <w:spacing w:before="0" w:after="0" w:line="240" w:lineRule="auto"/>
        <w:rPr>
          <w:rFonts w:cs="Segoe UI"/>
          <w:b w:val="0"/>
          <w:color w:val="000000"/>
          <w:sz w:val="20"/>
          <w:szCs w:val="20"/>
        </w:rPr>
      </w:pPr>
      <w:hyperlink r:id="rId17" w:history="1">
        <w:r w:rsidR="00A40E08" w:rsidRPr="00496F1B">
          <w:rPr>
            <w:rStyle w:val="Hyperlink"/>
            <w:rFonts w:cs="Segoe UI"/>
            <w:b w:val="0"/>
            <w:bCs/>
            <w:sz w:val="20"/>
            <w:szCs w:val="20"/>
          </w:rPr>
          <w:t xml:space="preserve">Employed </w:t>
        </w:r>
        <w:r w:rsidR="000A4290">
          <w:rPr>
            <w:rStyle w:val="Hyperlink"/>
            <w:rFonts w:cs="Segoe UI"/>
            <w:b w:val="0"/>
            <w:bCs/>
            <w:sz w:val="20"/>
            <w:szCs w:val="20"/>
          </w:rPr>
          <w:t>P</w:t>
        </w:r>
        <w:r w:rsidR="00A40E08" w:rsidRPr="00496F1B">
          <w:rPr>
            <w:rStyle w:val="Hyperlink"/>
            <w:rFonts w:cs="Segoe UI"/>
            <w:b w:val="0"/>
            <w:bCs/>
            <w:sz w:val="20"/>
            <w:szCs w:val="20"/>
          </w:rPr>
          <w:t xml:space="preserve">ersons by State, </w:t>
        </w:r>
        <w:proofErr w:type="gramStart"/>
        <w:r w:rsidR="00A40E08" w:rsidRPr="00496F1B">
          <w:rPr>
            <w:rStyle w:val="Hyperlink"/>
            <w:rFonts w:cs="Segoe UI"/>
            <w:b w:val="0"/>
            <w:bCs/>
            <w:sz w:val="20"/>
            <w:szCs w:val="20"/>
          </w:rPr>
          <w:t>Territory</w:t>
        </w:r>
        <w:proofErr w:type="gramEnd"/>
        <w:r w:rsidR="00A40E08" w:rsidRPr="00496F1B">
          <w:rPr>
            <w:rStyle w:val="Hyperlink"/>
            <w:rFonts w:cs="Segoe UI"/>
            <w:b w:val="0"/>
            <w:bCs/>
            <w:sz w:val="20"/>
            <w:szCs w:val="20"/>
          </w:rPr>
          <w:t xml:space="preserve"> and Industry </w:t>
        </w:r>
        <w:r w:rsidR="000A4290">
          <w:rPr>
            <w:rStyle w:val="Hyperlink"/>
            <w:rFonts w:cs="Segoe UI"/>
            <w:b w:val="0"/>
            <w:bCs/>
            <w:sz w:val="20"/>
            <w:szCs w:val="20"/>
          </w:rPr>
          <w:t>D</w:t>
        </w:r>
        <w:r w:rsidR="00A40E08" w:rsidRPr="00496F1B">
          <w:rPr>
            <w:rStyle w:val="Hyperlink"/>
            <w:rFonts w:cs="Segoe UI"/>
            <w:b w:val="0"/>
            <w:bCs/>
            <w:sz w:val="20"/>
            <w:szCs w:val="20"/>
          </w:rPr>
          <w:t xml:space="preserve">ivision of </w:t>
        </w:r>
        <w:r w:rsidR="000A4290">
          <w:rPr>
            <w:rStyle w:val="Hyperlink"/>
            <w:rFonts w:cs="Segoe UI"/>
            <w:b w:val="0"/>
            <w:bCs/>
            <w:sz w:val="20"/>
            <w:szCs w:val="20"/>
          </w:rPr>
          <w:t>M</w:t>
        </w:r>
        <w:r w:rsidR="00A40E08" w:rsidRPr="00496F1B">
          <w:rPr>
            <w:rStyle w:val="Hyperlink"/>
            <w:rFonts w:cs="Segoe UI"/>
            <w:b w:val="0"/>
            <w:bCs/>
            <w:sz w:val="20"/>
            <w:szCs w:val="20"/>
          </w:rPr>
          <w:t xml:space="preserve">ain </w:t>
        </w:r>
        <w:r w:rsidR="000A4290">
          <w:rPr>
            <w:rStyle w:val="Hyperlink"/>
            <w:rFonts w:cs="Segoe UI"/>
            <w:b w:val="0"/>
            <w:bCs/>
            <w:sz w:val="20"/>
            <w:szCs w:val="20"/>
          </w:rPr>
          <w:t>J</w:t>
        </w:r>
        <w:r w:rsidR="00A40E08" w:rsidRPr="00496F1B">
          <w:rPr>
            <w:rStyle w:val="Hyperlink"/>
            <w:rFonts w:cs="Segoe UI"/>
            <w:b w:val="0"/>
            <w:bCs/>
            <w:sz w:val="20"/>
            <w:szCs w:val="20"/>
          </w:rPr>
          <w:t>ob (ANZSIC)</w:t>
        </w:r>
      </w:hyperlink>
      <w:r w:rsidR="00A40E08" w:rsidRPr="00496F1B">
        <w:rPr>
          <w:rFonts w:cs="Segoe UI"/>
          <w:b w:val="0"/>
          <w:bCs/>
          <w:color w:val="000000"/>
          <w:sz w:val="20"/>
          <w:szCs w:val="20"/>
        </w:rPr>
        <w:t xml:space="preserve"> January 2022. </w:t>
      </w:r>
    </w:p>
  </w:footnote>
  <w:footnote w:id="17">
    <w:p w14:paraId="2F676A31" w14:textId="3A4FA2FF" w:rsidR="008650AA" w:rsidRPr="00496F1B" w:rsidRDefault="008650AA" w:rsidP="00496F1B">
      <w:pPr>
        <w:pStyle w:val="FootnoteText"/>
        <w:spacing w:before="0" w:after="0" w:line="240" w:lineRule="auto"/>
        <w:rPr>
          <w:sz w:val="20"/>
          <w:szCs w:val="20"/>
        </w:rPr>
      </w:pPr>
      <w:r w:rsidRPr="00496F1B">
        <w:rPr>
          <w:rStyle w:val="FootnoteReference"/>
          <w:sz w:val="20"/>
          <w:szCs w:val="20"/>
        </w:rPr>
        <w:footnoteRef/>
      </w:r>
      <w:r w:rsidRPr="00496F1B">
        <w:rPr>
          <w:sz w:val="20"/>
          <w:szCs w:val="20"/>
        </w:rPr>
        <w:t xml:space="preserve"> </w:t>
      </w:r>
      <w:r w:rsidR="00960495" w:rsidRPr="00496F1B">
        <w:rPr>
          <w:sz w:val="20"/>
          <w:szCs w:val="20"/>
        </w:rPr>
        <w:t xml:space="preserve">Safe Work Australia (SWA), </w:t>
      </w:r>
      <w:hyperlink r:id="rId18" w:history="1">
        <w:r w:rsidR="00960495" w:rsidRPr="00496F1B">
          <w:rPr>
            <w:rStyle w:val="Hyperlink"/>
            <w:sz w:val="20"/>
            <w:szCs w:val="20"/>
          </w:rPr>
          <w:t>Statistics on Work-Related Musculoskeletal Disorders</w:t>
        </w:r>
      </w:hyperlink>
      <w:r w:rsidR="00401C52" w:rsidRPr="00496F1B">
        <w:rPr>
          <w:rStyle w:val="Hyperlink"/>
          <w:sz w:val="20"/>
          <w:szCs w:val="20"/>
        </w:rPr>
        <w:t xml:space="preserve"> 2016</w:t>
      </w:r>
      <w:r w:rsidR="00960495" w:rsidRPr="00496F1B">
        <w:rPr>
          <w:sz w:val="20"/>
          <w:szCs w:val="20"/>
        </w:rPr>
        <w:t>,</w:t>
      </w:r>
      <w:r w:rsidR="00CD481D">
        <w:rPr>
          <w:sz w:val="20"/>
          <w:szCs w:val="20"/>
        </w:rPr>
        <w:t xml:space="preserve"> </w:t>
      </w:r>
      <w:r w:rsidR="00960495" w:rsidRPr="00496F1B">
        <w:rPr>
          <w:sz w:val="20"/>
          <w:szCs w:val="20"/>
        </w:rPr>
        <w:t xml:space="preserve">p. </w:t>
      </w:r>
      <w:r w:rsidR="00A20771" w:rsidRPr="00496F1B">
        <w:rPr>
          <w:sz w:val="20"/>
          <w:szCs w:val="20"/>
        </w:rPr>
        <w:t>7</w:t>
      </w:r>
      <w:r w:rsidR="00960495" w:rsidRPr="00496F1B">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20476" w14:textId="77777777" w:rsidR="00891EDC" w:rsidRDefault="00891EDC" w:rsidP="00EF7AB7">
    <w:pPr>
      <w:pStyle w:val="Header"/>
    </w:pPr>
    <w:r>
      <w:rPr>
        <w:noProof/>
      </w:rPr>
      <w:drawing>
        <wp:anchor distT="0" distB="0" distL="114300" distR="114300" simplePos="0" relativeHeight="251656189" behindDoc="1" locked="0" layoutInCell="1" allowOverlap="1" wp14:anchorId="371DBF38" wp14:editId="0B3D87A3">
          <wp:simplePos x="0" y="0"/>
          <wp:positionH relativeFrom="column">
            <wp:posOffset>-4068445</wp:posOffset>
          </wp:positionH>
          <wp:positionV relativeFrom="page">
            <wp:posOffset>-1104900</wp:posOffset>
          </wp:positionV>
          <wp:extent cx="7559040" cy="11337355"/>
          <wp:effectExtent l="0" t="0" r="3810" b="0"/>
          <wp:wrapNone/>
          <wp:docPr id="11" name="Picture 11" descr="A person wearing a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Stock-174637690-edit-grey.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13373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1" layoutInCell="1" allowOverlap="1" wp14:anchorId="528925D8" wp14:editId="727DC10F">
          <wp:simplePos x="0" y="0"/>
          <wp:positionH relativeFrom="page">
            <wp:posOffset>431800</wp:posOffset>
          </wp:positionH>
          <wp:positionV relativeFrom="page">
            <wp:posOffset>7272655</wp:posOffset>
          </wp:positionV>
          <wp:extent cx="1962000" cy="557640"/>
          <wp:effectExtent l="0" t="0" r="635" b="0"/>
          <wp:wrapNone/>
          <wp:docPr id="15" name="Picture 1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kplaceACT_cover_logo.png"/>
                  <pic:cNvPicPr/>
                </pic:nvPicPr>
                <pic:blipFill>
                  <a:blip r:embed="rId2">
                    <a:extLst>
                      <a:ext uri="{28A0092B-C50C-407E-A947-70E740481C1C}">
                        <a14:useLocalDpi xmlns:a14="http://schemas.microsoft.com/office/drawing/2010/main" val="0"/>
                      </a:ext>
                    </a:extLst>
                  </a:blip>
                  <a:stretch>
                    <a:fillRect/>
                  </a:stretch>
                </pic:blipFill>
                <pic:spPr>
                  <a:xfrm>
                    <a:off x="0" y="0"/>
                    <a:ext cx="1962000" cy="5576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4" behindDoc="1" locked="0" layoutInCell="1" allowOverlap="1" wp14:anchorId="5D644460" wp14:editId="6A9FEE50">
          <wp:simplePos x="0" y="0"/>
          <wp:positionH relativeFrom="page">
            <wp:align>center</wp:align>
          </wp:positionH>
          <wp:positionV relativeFrom="page">
            <wp:align>center</wp:align>
          </wp:positionV>
          <wp:extent cx="7559640" cy="10693440"/>
          <wp:effectExtent l="0" t="0" r="3810" b="0"/>
          <wp:wrapNone/>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port_mask-1.png"/>
                  <pic:cNvPicPr/>
                </pic:nvPicPr>
                <pic:blipFill>
                  <a:blip r:embed="rId3">
                    <a:extLst>
                      <a:ext uri="{28A0092B-C50C-407E-A947-70E740481C1C}">
                        <a14:useLocalDpi xmlns:a14="http://schemas.microsoft.com/office/drawing/2010/main" val="0"/>
                      </a:ext>
                    </a:extLst>
                  </a:blip>
                  <a:stretch>
                    <a:fillRect/>
                  </a:stretch>
                </pic:blipFill>
                <pic:spPr>
                  <a:xfrm>
                    <a:off x="0" y="0"/>
                    <a:ext cx="7559640" cy="106934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1F138" w14:textId="1A789610" w:rsidR="00891EDC" w:rsidRDefault="00E93EBA" w:rsidP="00F559EA">
    <w:pPr>
      <w:pStyle w:val="Header"/>
      <w:ind w:left="-6379"/>
    </w:pPr>
    <w:r>
      <w:rPr>
        <w:rFonts w:ascii="Raleway" w:hAnsi="Raleway"/>
        <w:noProof/>
      </w:rPr>
      <w:drawing>
        <wp:anchor distT="0" distB="0" distL="114300" distR="114300" simplePos="0" relativeHeight="251695104" behindDoc="1" locked="0" layoutInCell="1" allowOverlap="1" wp14:anchorId="79CB2A3F" wp14:editId="25AB1A5C">
          <wp:simplePos x="0" y="0"/>
          <wp:positionH relativeFrom="column">
            <wp:posOffset>-5760085</wp:posOffset>
          </wp:positionH>
          <wp:positionV relativeFrom="paragraph">
            <wp:posOffset>-433070</wp:posOffset>
          </wp:positionV>
          <wp:extent cx="9685020" cy="6188430"/>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698176" cy="61968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59EA">
      <w:rPr>
        <w:noProof/>
      </w:rPr>
      <w:drawing>
        <wp:anchor distT="0" distB="0" distL="114300" distR="114300" simplePos="0" relativeHeight="251681792" behindDoc="0" locked="0" layoutInCell="1" allowOverlap="1" wp14:anchorId="1486724B" wp14:editId="78CE2E49">
          <wp:simplePos x="0" y="0"/>
          <wp:positionH relativeFrom="column">
            <wp:posOffset>1151255</wp:posOffset>
          </wp:positionH>
          <wp:positionV relativeFrom="paragraph">
            <wp:posOffset>3816985</wp:posOffset>
          </wp:positionV>
          <wp:extent cx="2375535" cy="2375535"/>
          <wp:effectExtent l="0" t="0" r="5715" b="571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kSafeACT Plus_Green Outlined.eps"/>
                  <pic:cNvPicPr/>
                </pic:nvPicPr>
                <pic:blipFill>
                  <a:blip r:embed="rId3">
                    <a:extLst>
                      <a:ext uri="{28A0092B-C50C-407E-A947-70E740481C1C}">
                        <a14:useLocalDpi xmlns:a14="http://schemas.microsoft.com/office/drawing/2010/main" val="0"/>
                      </a:ext>
                    </a:extLst>
                  </a:blip>
                  <a:stretch>
                    <a:fillRect/>
                  </a:stretch>
                </pic:blipFill>
                <pic:spPr>
                  <a:xfrm>
                    <a:off x="0" y="0"/>
                    <a:ext cx="2375535" cy="2375535"/>
                  </a:xfrm>
                  <a:prstGeom prst="rect">
                    <a:avLst/>
                  </a:prstGeom>
                </pic:spPr>
              </pic:pic>
            </a:graphicData>
          </a:graphic>
          <wp14:sizeRelH relativeFrom="page">
            <wp14:pctWidth>0</wp14:pctWidth>
          </wp14:sizeRelH>
          <wp14:sizeRelV relativeFrom="page">
            <wp14:pctHeight>0</wp14:pctHeight>
          </wp14:sizeRelV>
        </wp:anchor>
      </w:drawing>
    </w:r>
    <w:r w:rsidR="00891EDC">
      <w:rPr>
        <w:noProof/>
      </w:rPr>
      <w:drawing>
        <wp:anchor distT="0" distB="0" distL="114300" distR="114300" simplePos="0" relativeHeight="251694080" behindDoc="0" locked="0" layoutInCell="1" allowOverlap="1" wp14:anchorId="70A6E0AF" wp14:editId="250BFE6F">
          <wp:simplePos x="0" y="0"/>
          <wp:positionH relativeFrom="column">
            <wp:posOffset>-4182745</wp:posOffset>
          </wp:positionH>
          <wp:positionV relativeFrom="paragraph">
            <wp:posOffset>235585</wp:posOffset>
          </wp:positionV>
          <wp:extent cx="2375535" cy="2375535"/>
          <wp:effectExtent l="0" t="0" r="5715" b="571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kSafeACT Plus_Green Filled.eps"/>
                  <pic:cNvPicPr/>
                </pic:nvPicPr>
                <pic:blipFill>
                  <a:blip r:embed="rId4">
                    <a:extLst>
                      <a:ext uri="{28A0092B-C50C-407E-A947-70E740481C1C}">
                        <a14:useLocalDpi xmlns:a14="http://schemas.microsoft.com/office/drawing/2010/main" val="0"/>
                      </a:ext>
                    </a:extLst>
                  </a:blip>
                  <a:stretch>
                    <a:fillRect/>
                  </a:stretch>
                </pic:blipFill>
                <pic:spPr>
                  <a:xfrm>
                    <a:off x="0" y="0"/>
                    <a:ext cx="2375535" cy="23755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6933F" w14:textId="77777777" w:rsidR="00891EDC" w:rsidRDefault="00891EDC" w:rsidP="00EF7AB7">
    <w:pPr>
      <w:pStyle w:val="Header"/>
    </w:pPr>
    <w:r w:rsidRPr="007923D0">
      <w:rPr>
        <w:noProof/>
      </w:rPr>
      <w:drawing>
        <wp:anchor distT="0" distB="0" distL="114300" distR="114300" simplePos="0" relativeHeight="251691008" behindDoc="1" locked="0" layoutInCell="1" allowOverlap="1" wp14:anchorId="710B58CD" wp14:editId="5B5A93FA">
          <wp:simplePos x="0" y="0"/>
          <wp:positionH relativeFrom="column">
            <wp:posOffset>5935850</wp:posOffset>
          </wp:positionH>
          <wp:positionV relativeFrom="paragraph">
            <wp:posOffset>-362263</wp:posOffset>
          </wp:positionV>
          <wp:extent cx="576000" cy="576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kSafeACT Plus_Green Outlined.eps"/>
                  <pic:cNvPicPr/>
                </pic:nvPicPr>
                <pic:blipFill>
                  <a:blip r:embed="rId1">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1" locked="0" layoutInCell="1" allowOverlap="1" wp14:anchorId="3CEBC00D" wp14:editId="3B339195">
          <wp:simplePos x="0" y="0"/>
          <wp:positionH relativeFrom="column">
            <wp:posOffset>-160075</wp:posOffset>
          </wp:positionH>
          <wp:positionV relativeFrom="paragraph">
            <wp:posOffset>-55245</wp:posOffset>
          </wp:positionV>
          <wp:extent cx="2240362" cy="535767"/>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kSafeACT Logo inline.eps"/>
                  <pic:cNvPicPr/>
                </pic:nvPicPr>
                <pic:blipFill>
                  <a:blip r:embed="rId2">
                    <a:extLst>
                      <a:ext uri="{28A0092B-C50C-407E-A947-70E740481C1C}">
                        <a14:useLocalDpi xmlns:a14="http://schemas.microsoft.com/office/drawing/2010/main" val="0"/>
                      </a:ext>
                    </a:extLst>
                  </a:blip>
                  <a:stretch>
                    <a:fillRect/>
                  </a:stretch>
                </pic:blipFill>
                <pic:spPr>
                  <a:xfrm>
                    <a:off x="0" y="0"/>
                    <a:ext cx="2240362" cy="535767"/>
                  </a:xfrm>
                  <a:prstGeom prst="rect">
                    <a:avLst/>
                  </a:prstGeom>
                </pic:spPr>
              </pic:pic>
            </a:graphicData>
          </a:graphic>
          <wp14:sizeRelH relativeFrom="page">
            <wp14:pctWidth>0</wp14:pctWidth>
          </wp14:sizeRelH>
          <wp14:sizeRelV relativeFrom="page">
            <wp14:pctHeight>0</wp14:pctHeight>
          </wp14:sizeRelV>
        </wp:anchor>
      </w:drawing>
    </w:r>
  </w:p>
  <w:p w14:paraId="061B873F" w14:textId="77777777" w:rsidR="00891EDC" w:rsidRDefault="00891EDC" w:rsidP="00EF7AB7">
    <w:pPr>
      <w:pStyle w:val="Header"/>
    </w:pPr>
  </w:p>
  <w:p w14:paraId="69202791" w14:textId="77777777" w:rsidR="00891EDC" w:rsidRPr="006A67C0" w:rsidRDefault="00891EDC" w:rsidP="00EF7AB7">
    <w:pPr>
      <w:pStyle w:val="Header"/>
    </w:pPr>
    <w:r w:rsidRPr="007923D0">
      <w:rPr>
        <w:noProof/>
      </w:rPr>
      <w:drawing>
        <wp:anchor distT="0" distB="0" distL="114300" distR="114300" simplePos="0" relativeHeight="251692032" behindDoc="1" locked="0" layoutInCell="1" allowOverlap="1" wp14:anchorId="4464D952" wp14:editId="6BF1F09C">
          <wp:simplePos x="0" y="0"/>
          <wp:positionH relativeFrom="column">
            <wp:posOffset>6551800</wp:posOffset>
          </wp:positionH>
          <wp:positionV relativeFrom="paragraph">
            <wp:posOffset>87317</wp:posOffset>
          </wp:positionV>
          <wp:extent cx="576000" cy="576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kSafeACT Plus_Green Filled.eps"/>
                  <pic:cNvPicPr/>
                </pic:nvPicPr>
                <pic:blipFill>
                  <a:blip r:embed="rId3">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AEBD5" w14:textId="77777777" w:rsidR="00891EDC" w:rsidRDefault="00891EDC" w:rsidP="00EF7AB7">
    <w:pPr>
      <w:pStyle w:val="Header"/>
    </w:pPr>
    <w:r w:rsidRPr="007923D0">
      <w:rPr>
        <w:noProof/>
      </w:rPr>
      <w:drawing>
        <wp:anchor distT="0" distB="0" distL="114300" distR="114300" simplePos="0" relativeHeight="251687936" behindDoc="1" locked="0" layoutInCell="1" allowOverlap="1" wp14:anchorId="13F538EC" wp14:editId="4195768C">
          <wp:simplePos x="0" y="0"/>
          <wp:positionH relativeFrom="column">
            <wp:posOffset>5937250</wp:posOffset>
          </wp:positionH>
          <wp:positionV relativeFrom="paragraph">
            <wp:posOffset>-358140</wp:posOffset>
          </wp:positionV>
          <wp:extent cx="576000" cy="5760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kSafeACT Plus_Green Outlined.eps"/>
                  <pic:cNvPicPr/>
                </pic:nvPicPr>
                <pic:blipFill>
                  <a:blip r:embed="rId1">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1" allowOverlap="1" wp14:anchorId="1DF1B745" wp14:editId="5D10A6CF">
          <wp:simplePos x="0" y="0"/>
          <wp:positionH relativeFrom="column">
            <wp:posOffset>-164077</wp:posOffset>
          </wp:positionH>
          <wp:positionV relativeFrom="paragraph">
            <wp:posOffset>-54987</wp:posOffset>
          </wp:positionV>
          <wp:extent cx="2217600" cy="5292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kSafeACT Logo inline.eps"/>
                  <pic:cNvPicPr/>
                </pic:nvPicPr>
                <pic:blipFill>
                  <a:blip r:embed="rId2">
                    <a:extLst>
                      <a:ext uri="{28A0092B-C50C-407E-A947-70E740481C1C}">
                        <a14:useLocalDpi xmlns:a14="http://schemas.microsoft.com/office/drawing/2010/main" val="0"/>
                      </a:ext>
                    </a:extLst>
                  </a:blip>
                  <a:stretch>
                    <a:fillRect/>
                  </a:stretch>
                </pic:blipFill>
                <pic:spPr>
                  <a:xfrm>
                    <a:off x="0" y="0"/>
                    <a:ext cx="2217600" cy="529200"/>
                  </a:xfrm>
                  <a:prstGeom prst="rect">
                    <a:avLst/>
                  </a:prstGeom>
                </pic:spPr>
              </pic:pic>
            </a:graphicData>
          </a:graphic>
          <wp14:sizeRelH relativeFrom="page">
            <wp14:pctWidth>0</wp14:pctWidth>
          </wp14:sizeRelH>
          <wp14:sizeRelV relativeFrom="page">
            <wp14:pctHeight>0</wp14:pctHeight>
          </wp14:sizeRelV>
        </wp:anchor>
      </w:drawing>
    </w:r>
  </w:p>
  <w:p w14:paraId="4D562843" w14:textId="77777777" w:rsidR="00891EDC" w:rsidRDefault="00891EDC" w:rsidP="00EF7AB7">
    <w:pPr>
      <w:pStyle w:val="Header"/>
    </w:pPr>
  </w:p>
  <w:p w14:paraId="7D538307" w14:textId="77777777" w:rsidR="00891EDC" w:rsidRPr="006A67C0" w:rsidRDefault="00891EDC" w:rsidP="00EF7AB7">
    <w:pPr>
      <w:pStyle w:val="Header"/>
    </w:pPr>
    <w:r w:rsidRPr="007923D0">
      <w:rPr>
        <w:noProof/>
      </w:rPr>
      <w:drawing>
        <wp:anchor distT="0" distB="0" distL="114300" distR="114300" simplePos="0" relativeHeight="251688960" behindDoc="1" locked="0" layoutInCell="1" allowOverlap="1" wp14:anchorId="62DC3DBF" wp14:editId="3639AD77">
          <wp:simplePos x="0" y="0"/>
          <wp:positionH relativeFrom="column">
            <wp:posOffset>6553200</wp:posOffset>
          </wp:positionH>
          <wp:positionV relativeFrom="paragraph">
            <wp:posOffset>91440</wp:posOffset>
          </wp:positionV>
          <wp:extent cx="576000" cy="57600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kSafeACT Plus_Green Filled.eps"/>
                  <pic:cNvPicPr/>
                </pic:nvPicPr>
                <pic:blipFill>
                  <a:blip r:embed="rId3">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96C1A"/>
    <w:multiLevelType w:val="hybridMultilevel"/>
    <w:tmpl w:val="C4FA1D2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231F20" w:themeColor="text2"/>
      </w:rPr>
    </w:lvl>
    <w:lvl w:ilvl="2">
      <w:start w:val="1"/>
      <w:numFmt w:val="bullet"/>
      <w:lvlText w:val="»"/>
      <w:lvlJc w:val="left"/>
      <w:pPr>
        <w:ind w:left="852" w:hanging="284"/>
      </w:pPr>
      <w:rPr>
        <w:rFonts w:ascii="Arial" w:hAnsi="Arial" w:hint="default"/>
        <w:color w:val="231F20"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085724A"/>
    <w:multiLevelType w:val="hybridMultilevel"/>
    <w:tmpl w:val="BC8CB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AC411B"/>
    <w:multiLevelType w:val="hybridMultilevel"/>
    <w:tmpl w:val="ED86B0E6"/>
    <w:lvl w:ilvl="0" w:tplc="F508BF84">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6E152B"/>
    <w:multiLevelType w:val="hybridMultilevel"/>
    <w:tmpl w:val="E2FEB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E41C81"/>
    <w:multiLevelType w:val="hybridMultilevel"/>
    <w:tmpl w:val="660A25B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6" w15:restartNumberingAfterBreak="0">
    <w:nsid w:val="15A62B36"/>
    <w:multiLevelType w:val="hybridMultilevel"/>
    <w:tmpl w:val="FCA030C2"/>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7" w15:restartNumberingAfterBreak="0">
    <w:nsid w:val="17444D97"/>
    <w:multiLevelType w:val="hybridMultilevel"/>
    <w:tmpl w:val="D0D63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80274E"/>
    <w:multiLevelType w:val="hybridMultilevel"/>
    <w:tmpl w:val="0E820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F1618D"/>
    <w:multiLevelType w:val="multilevel"/>
    <w:tmpl w:val="D4B272E4"/>
    <w:styleLink w:val="List1Numbered"/>
    <w:lvl w:ilvl="0">
      <w:start w:val="1"/>
      <w:numFmt w:val="decimal"/>
      <w:pStyle w:val="List1Numbered1"/>
      <w:lvlText w:val="%1."/>
      <w:lvlJc w:val="left"/>
      <w:pPr>
        <w:ind w:left="340" w:hanging="340"/>
      </w:pPr>
      <w:rPr>
        <w:rFonts w:hint="default"/>
        <w:b w:val="0"/>
        <w:i w:val="0"/>
        <w:color w:val="auto"/>
      </w:rPr>
    </w:lvl>
    <w:lvl w:ilvl="1">
      <w:start w:val="1"/>
      <w:numFmt w:val="lowerLetter"/>
      <w:pStyle w:val="List1Numbered2"/>
      <w:lvlText w:val="%2."/>
      <w:lvlJc w:val="left"/>
      <w:pPr>
        <w:ind w:left="680" w:hanging="340"/>
      </w:pPr>
      <w:rPr>
        <w:rFonts w:hint="default"/>
      </w:rPr>
    </w:lvl>
    <w:lvl w:ilvl="2">
      <w:start w:val="1"/>
      <w:numFmt w:val="lowerRoman"/>
      <w:pStyle w:val="List1Numbered3"/>
      <w:lvlText w:val="%3."/>
      <w:lvlJc w:val="left"/>
      <w:pPr>
        <w:ind w:left="1021" w:hanging="34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1CC862E1"/>
    <w:multiLevelType w:val="multilevel"/>
    <w:tmpl w:val="8892CC6E"/>
    <w:styleLink w:val="FigureNumbers"/>
    <w:lvl w:ilvl="0">
      <w:start w:val="1"/>
      <w:numFmt w:val="decimal"/>
      <w:pStyle w:val="FigureTitle"/>
      <w:lvlText w:val="Figure %1."/>
      <w:lvlJc w:val="left"/>
      <w:pPr>
        <w:ind w:left="1134" w:hanging="1134"/>
      </w:pPr>
      <w:rPr>
        <w:rFonts w:hint="default"/>
        <w:b/>
        <w:i w:val="0"/>
        <w:caps/>
        <w:smallCaps w:val="0"/>
        <w:color w:val="00A841"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CE708D7"/>
    <w:multiLevelType w:val="hybridMultilevel"/>
    <w:tmpl w:val="B372B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EF10C9"/>
    <w:multiLevelType w:val="multilevel"/>
    <w:tmpl w:val="8892CC6E"/>
    <w:numStyleLink w:val="FigureNumbers"/>
  </w:abstractNum>
  <w:abstractNum w:abstractNumId="13" w15:restartNumberingAfterBreak="0">
    <w:nsid w:val="20336ADE"/>
    <w:multiLevelType w:val="multilevel"/>
    <w:tmpl w:val="8BB2C2A4"/>
    <w:styleLink w:val="TableNumbers"/>
    <w:lvl w:ilvl="0">
      <w:start w:val="1"/>
      <w:numFmt w:val="decimal"/>
      <w:pStyle w:val="TableTitle"/>
      <w:lvlText w:val="Table %1."/>
      <w:lvlJc w:val="left"/>
      <w:pPr>
        <w:ind w:left="1134" w:hanging="1134"/>
      </w:pPr>
      <w:rPr>
        <w:rFonts w:hint="default"/>
        <w:b/>
        <w:i w:val="0"/>
        <w:caps/>
        <w:color w:val="00A841"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4602BF0"/>
    <w:multiLevelType w:val="hybridMultilevel"/>
    <w:tmpl w:val="B510BB0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261E0CBB"/>
    <w:multiLevelType w:val="hybridMultilevel"/>
    <w:tmpl w:val="29BA1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821378"/>
    <w:multiLevelType w:val="hybridMultilevel"/>
    <w:tmpl w:val="530A3424"/>
    <w:lvl w:ilvl="0" w:tplc="F508BF8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CE60CC"/>
    <w:multiLevelType w:val="multilevel"/>
    <w:tmpl w:val="C3C8640A"/>
    <w:numStyleLink w:val="DefaultBullets"/>
  </w:abstractNum>
  <w:abstractNum w:abstractNumId="18" w15:restartNumberingAfterBreak="0">
    <w:nsid w:val="29317503"/>
    <w:multiLevelType w:val="hybridMultilevel"/>
    <w:tmpl w:val="77AED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3E5231"/>
    <w:multiLevelType w:val="hybridMultilevel"/>
    <w:tmpl w:val="9FD2A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DA624F"/>
    <w:multiLevelType w:val="hybridMultilevel"/>
    <w:tmpl w:val="7CB0C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23A1A20"/>
    <w:multiLevelType w:val="hybridMultilevel"/>
    <w:tmpl w:val="FE2C7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522B85"/>
    <w:multiLevelType w:val="hybridMultilevel"/>
    <w:tmpl w:val="E1921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231F20" w:themeColor="text2"/>
      </w:rPr>
    </w:lvl>
    <w:lvl w:ilvl="3">
      <w:start w:val="1"/>
      <w:numFmt w:val="bullet"/>
      <w:lvlText w:val="»"/>
      <w:lvlJc w:val="left"/>
      <w:pPr>
        <w:ind w:left="794" w:hanging="510"/>
      </w:pPr>
      <w:rPr>
        <w:rFonts w:ascii="Arial" w:hAnsi="Arial" w:hint="default"/>
        <w:color w:val="231F20"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5" w15:restartNumberingAfterBreak="0">
    <w:nsid w:val="423A6820"/>
    <w:multiLevelType w:val="hybridMultilevel"/>
    <w:tmpl w:val="CC8A6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AE56B1"/>
    <w:multiLevelType w:val="hybridMultilevel"/>
    <w:tmpl w:val="A7E48A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A32B5D"/>
    <w:multiLevelType w:val="multilevel"/>
    <w:tmpl w:val="A4641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0EE7F0D"/>
    <w:multiLevelType w:val="multilevel"/>
    <w:tmpl w:val="8BB2C2A4"/>
    <w:numStyleLink w:val="TableNumbers"/>
  </w:abstractNum>
  <w:abstractNum w:abstractNumId="29" w15:restartNumberingAfterBreak="0">
    <w:nsid w:val="52BB0FE6"/>
    <w:multiLevelType w:val="hybridMultilevel"/>
    <w:tmpl w:val="39AE1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5249AF"/>
    <w:multiLevelType w:val="multilevel"/>
    <w:tmpl w:val="3A1A8908"/>
    <w:styleLink w:val="AppendixNumbers"/>
    <w:lvl w:ilvl="0">
      <w:start w:val="1"/>
      <w:numFmt w:val="upperLetter"/>
      <w:pStyle w:val="AppendixNumbered"/>
      <w:suff w:val="space"/>
      <w:lvlText w:val="Appendix %1 –"/>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50B42C5"/>
    <w:multiLevelType w:val="hybridMultilevel"/>
    <w:tmpl w:val="2C483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CB6C36"/>
    <w:multiLevelType w:val="hybridMultilevel"/>
    <w:tmpl w:val="51BACBB0"/>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33"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8894201"/>
    <w:multiLevelType w:val="hybridMultilevel"/>
    <w:tmpl w:val="BA747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816B05"/>
    <w:multiLevelType w:val="hybridMultilevel"/>
    <w:tmpl w:val="F0A2F6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8746C2"/>
    <w:multiLevelType w:val="hybridMultilevel"/>
    <w:tmpl w:val="7C66D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74A588D"/>
    <w:multiLevelType w:val="hybridMultilevel"/>
    <w:tmpl w:val="A56481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7A4334"/>
    <w:multiLevelType w:val="hybridMultilevel"/>
    <w:tmpl w:val="7CA2BABC"/>
    <w:lvl w:ilvl="0" w:tplc="711A5E48">
      <w:numFmt w:val="bullet"/>
      <w:lvlText w:val="•"/>
      <w:lvlJc w:val="left"/>
      <w:pPr>
        <w:ind w:left="720" w:hanging="360"/>
      </w:pPr>
      <w:rPr>
        <w:rFonts w:ascii="Raleway" w:eastAsiaTheme="minorHAnsi" w:hAnsi="Raleway"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EEC2912"/>
    <w:multiLevelType w:val="multilevel"/>
    <w:tmpl w:val="D4B272E4"/>
    <w:numStyleLink w:val="List1Numbered"/>
  </w:abstractNum>
  <w:abstractNum w:abstractNumId="40" w15:restartNumberingAfterBreak="0">
    <w:nsid w:val="707465F8"/>
    <w:multiLevelType w:val="hybridMultilevel"/>
    <w:tmpl w:val="58343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38A4D83"/>
    <w:multiLevelType w:val="multilevel"/>
    <w:tmpl w:val="C3C8640A"/>
    <w:styleLink w:val="DefaultBullets"/>
    <w:lvl w:ilvl="0">
      <w:start w:val="1"/>
      <w:numFmt w:val="bullet"/>
      <w:pStyle w:val="Bullet1"/>
      <w:lvlText w:val=""/>
      <w:lvlJc w:val="left"/>
      <w:pPr>
        <w:ind w:left="340" w:hanging="340"/>
      </w:pPr>
      <w:rPr>
        <w:rFonts w:ascii="Symbol" w:hAnsi="Symbol" w:hint="default"/>
        <w:color w:val="auto"/>
      </w:rPr>
    </w:lvl>
    <w:lvl w:ilvl="1">
      <w:start w:val="1"/>
      <w:numFmt w:val="bullet"/>
      <w:pStyle w:val="Bullet2"/>
      <w:lvlText w:val="+"/>
      <w:lvlJc w:val="left"/>
      <w:pPr>
        <w:ind w:left="680" w:hanging="340"/>
      </w:pPr>
      <w:rPr>
        <w:rFonts w:ascii="Arial" w:hAnsi="Arial" w:hint="default"/>
        <w:color w:val="auto"/>
      </w:rPr>
    </w:lvl>
    <w:lvl w:ilvl="2">
      <w:start w:val="1"/>
      <w:numFmt w:val="bullet"/>
      <w:pStyle w:val="Bullet3"/>
      <w:lvlText w:val="–"/>
      <w:lvlJc w:val="left"/>
      <w:pPr>
        <w:ind w:left="1021" w:hanging="341"/>
      </w:pPr>
      <w:rPr>
        <w:rFonts w:ascii="Calibri" w:hAnsi="Calibri"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2" w15:restartNumberingAfterBreak="0">
    <w:nsid w:val="764C0350"/>
    <w:multiLevelType w:val="hybridMultilevel"/>
    <w:tmpl w:val="648A8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90B67C4"/>
    <w:multiLevelType w:val="multilevel"/>
    <w:tmpl w:val="FE688822"/>
    <w:numStyleLink w:val="BoxedBullets"/>
  </w:abstractNum>
  <w:abstractNum w:abstractNumId="44" w15:restartNumberingAfterBreak="0">
    <w:nsid w:val="7C355F18"/>
    <w:multiLevelType w:val="hybridMultilevel"/>
    <w:tmpl w:val="EB34B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EE44065"/>
    <w:multiLevelType w:val="multilevel"/>
    <w:tmpl w:val="3A1A8908"/>
    <w:numStyleLink w:val="AppendixNumbers"/>
  </w:abstractNum>
  <w:num w:numId="1">
    <w:abstractNumId w:val="1"/>
  </w:num>
  <w:num w:numId="2">
    <w:abstractNumId w:val="45"/>
  </w:num>
  <w:num w:numId="3">
    <w:abstractNumId w:val="30"/>
  </w:num>
  <w:num w:numId="4">
    <w:abstractNumId w:val="43"/>
  </w:num>
  <w:num w:numId="5">
    <w:abstractNumId w:val="24"/>
  </w:num>
  <w:num w:numId="6">
    <w:abstractNumId w:val="10"/>
  </w:num>
  <w:num w:numId="7">
    <w:abstractNumId w:val="9"/>
  </w:num>
  <w:num w:numId="8">
    <w:abstractNumId w:val="33"/>
  </w:num>
  <w:num w:numId="9">
    <w:abstractNumId w:val="21"/>
  </w:num>
  <w:num w:numId="10">
    <w:abstractNumId w:val="13"/>
  </w:num>
  <w:num w:numId="11">
    <w:abstractNumId w:val="41"/>
  </w:num>
  <w:num w:numId="12">
    <w:abstractNumId w:val="17"/>
  </w:num>
  <w:num w:numId="13">
    <w:abstractNumId w:val="39"/>
  </w:num>
  <w:num w:numId="14">
    <w:abstractNumId w:val="12"/>
  </w:num>
  <w:num w:numId="15">
    <w:abstractNumId w:val="28"/>
  </w:num>
  <w:num w:numId="16">
    <w:abstractNumId w:val="11"/>
  </w:num>
  <w:num w:numId="17">
    <w:abstractNumId w:val="7"/>
  </w:num>
  <w:num w:numId="18">
    <w:abstractNumId w:val="35"/>
  </w:num>
  <w:num w:numId="19">
    <w:abstractNumId w:val="44"/>
  </w:num>
  <w:num w:numId="20">
    <w:abstractNumId w:val="0"/>
  </w:num>
  <w:num w:numId="21">
    <w:abstractNumId w:val="14"/>
  </w:num>
  <w:num w:numId="22">
    <w:abstractNumId w:val="26"/>
  </w:num>
  <w:num w:numId="23">
    <w:abstractNumId w:val="15"/>
  </w:num>
  <w:num w:numId="24">
    <w:abstractNumId w:val="3"/>
  </w:num>
  <w:num w:numId="25">
    <w:abstractNumId w:val="16"/>
  </w:num>
  <w:num w:numId="26">
    <w:abstractNumId w:val="22"/>
  </w:num>
  <w:num w:numId="27">
    <w:abstractNumId w:val="6"/>
  </w:num>
  <w:num w:numId="28">
    <w:abstractNumId w:val="32"/>
  </w:num>
  <w:num w:numId="29">
    <w:abstractNumId w:val="20"/>
  </w:num>
  <w:num w:numId="30">
    <w:abstractNumId w:val="5"/>
  </w:num>
  <w:num w:numId="31">
    <w:abstractNumId w:val="42"/>
  </w:num>
  <w:num w:numId="32">
    <w:abstractNumId w:val="29"/>
  </w:num>
  <w:num w:numId="33">
    <w:abstractNumId w:val="36"/>
  </w:num>
  <w:num w:numId="34">
    <w:abstractNumId w:val="27"/>
  </w:num>
  <w:num w:numId="35">
    <w:abstractNumId w:val="8"/>
  </w:num>
  <w:num w:numId="36">
    <w:abstractNumId w:val="37"/>
  </w:num>
  <w:num w:numId="37">
    <w:abstractNumId w:val="18"/>
  </w:num>
  <w:num w:numId="38">
    <w:abstractNumId w:val="23"/>
  </w:num>
  <w:num w:numId="39">
    <w:abstractNumId w:val="34"/>
  </w:num>
  <w:num w:numId="40">
    <w:abstractNumId w:val="19"/>
  </w:num>
  <w:num w:numId="41">
    <w:abstractNumId w:val="31"/>
  </w:num>
  <w:num w:numId="42">
    <w:abstractNumId w:val="2"/>
  </w:num>
  <w:num w:numId="43">
    <w:abstractNumId w:val="4"/>
  </w:num>
  <w:num w:numId="44">
    <w:abstractNumId w:val="25"/>
  </w:num>
  <w:num w:numId="45">
    <w:abstractNumId w:val="38"/>
  </w:num>
  <w:num w:numId="46">
    <w:abstractNumId w:val="4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08A"/>
    <w:rsid w:val="00000716"/>
    <w:rsid w:val="000044C8"/>
    <w:rsid w:val="00007BB5"/>
    <w:rsid w:val="00015EFA"/>
    <w:rsid w:val="00024694"/>
    <w:rsid w:val="00024770"/>
    <w:rsid w:val="000272C9"/>
    <w:rsid w:val="00032694"/>
    <w:rsid w:val="00046B83"/>
    <w:rsid w:val="00062066"/>
    <w:rsid w:val="00064135"/>
    <w:rsid w:val="00066384"/>
    <w:rsid w:val="00066C24"/>
    <w:rsid w:val="00080615"/>
    <w:rsid w:val="00086C35"/>
    <w:rsid w:val="000930DF"/>
    <w:rsid w:val="000A1821"/>
    <w:rsid w:val="000A4290"/>
    <w:rsid w:val="000B1B7A"/>
    <w:rsid w:val="000B29ED"/>
    <w:rsid w:val="000B35AF"/>
    <w:rsid w:val="000B54A5"/>
    <w:rsid w:val="000C252F"/>
    <w:rsid w:val="000D6562"/>
    <w:rsid w:val="000D686B"/>
    <w:rsid w:val="000E5C59"/>
    <w:rsid w:val="000F0197"/>
    <w:rsid w:val="00102489"/>
    <w:rsid w:val="00107C1C"/>
    <w:rsid w:val="00114E64"/>
    <w:rsid w:val="00117FA2"/>
    <w:rsid w:val="00122946"/>
    <w:rsid w:val="00122A14"/>
    <w:rsid w:val="001252B8"/>
    <w:rsid w:val="0013039C"/>
    <w:rsid w:val="001329BD"/>
    <w:rsid w:val="0013309F"/>
    <w:rsid w:val="00134A2B"/>
    <w:rsid w:val="001426FF"/>
    <w:rsid w:val="001451DD"/>
    <w:rsid w:val="00157310"/>
    <w:rsid w:val="0017199E"/>
    <w:rsid w:val="00173308"/>
    <w:rsid w:val="001832EF"/>
    <w:rsid w:val="001910C4"/>
    <w:rsid w:val="001A05D8"/>
    <w:rsid w:val="001B2313"/>
    <w:rsid w:val="001B258D"/>
    <w:rsid w:val="001C363B"/>
    <w:rsid w:val="001C7046"/>
    <w:rsid w:val="001D5529"/>
    <w:rsid w:val="001D6637"/>
    <w:rsid w:val="001D722D"/>
    <w:rsid w:val="001D77C8"/>
    <w:rsid w:val="001E12BD"/>
    <w:rsid w:val="001E4556"/>
    <w:rsid w:val="001F6AF7"/>
    <w:rsid w:val="00223CF5"/>
    <w:rsid w:val="0022666E"/>
    <w:rsid w:val="00227F2F"/>
    <w:rsid w:val="002307B2"/>
    <w:rsid w:val="00235130"/>
    <w:rsid w:val="00236289"/>
    <w:rsid w:val="00244E10"/>
    <w:rsid w:val="0025114A"/>
    <w:rsid w:val="00251636"/>
    <w:rsid w:val="002573ED"/>
    <w:rsid w:val="00270560"/>
    <w:rsid w:val="00270A91"/>
    <w:rsid w:val="002804D3"/>
    <w:rsid w:val="002829B7"/>
    <w:rsid w:val="00293D71"/>
    <w:rsid w:val="002A3173"/>
    <w:rsid w:val="002A3683"/>
    <w:rsid w:val="002B0416"/>
    <w:rsid w:val="002B56D9"/>
    <w:rsid w:val="002B739B"/>
    <w:rsid w:val="002C408A"/>
    <w:rsid w:val="002C56D0"/>
    <w:rsid w:val="002C7D0A"/>
    <w:rsid w:val="002E252E"/>
    <w:rsid w:val="002F236F"/>
    <w:rsid w:val="002F455A"/>
    <w:rsid w:val="00310368"/>
    <w:rsid w:val="003141FE"/>
    <w:rsid w:val="003200B7"/>
    <w:rsid w:val="00326CA9"/>
    <w:rsid w:val="0033232B"/>
    <w:rsid w:val="00344767"/>
    <w:rsid w:val="003449A0"/>
    <w:rsid w:val="00347251"/>
    <w:rsid w:val="003533AC"/>
    <w:rsid w:val="00353D6F"/>
    <w:rsid w:val="00356D05"/>
    <w:rsid w:val="00362B81"/>
    <w:rsid w:val="003636F0"/>
    <w:rsid w:val="0038060E"/>
    <w:rsid w:val="003875EB"/>
    <w:rsid w:val="00393599"/>
    <w:rsid w:val="003976B5"/>
    <w:rsid w:val="003B0F8C"/>
    <w:rsid w:val="003B4998"/>
    <w:rsid w:val="003B6C32"/>
    <w:rsid w:val="003F322D"/>
    <w:rsid w:val="003F3700"/>
    <w:rsid w:val="003F4CE5"/>
    <w:rsid w:val="00401C52"/>
    <w:rsid w:val="0040310B"/>
    <w:rsid w:val="004041EF"/>
    <w:rsid w:val="004154E2"/>
    <w:rsid w:val="004222C6"/>
    <w:rsid w:val="00425E5A"/>
    <w:rsid w:val="004307AC"/>
    <w:rsid w:val="00430A23"/>
    <w:rsid w:val="004420C6"/>
    <w:rsid w:val="00444E24"/>
    <w:rsid w:val="00455676"/>
    <w:rsid w:val="004650FD"/>
    <w:rsid w:val="00470FDE"/>
    <w:rsid w:val="00480136"/>
    <w:rsid w:val="00486C05"/>
    <w:rsid w:val="00487AB0"/>
    <w:rsid w:val="00496F1B"/>
    <w:rsid w:val="004A0F10"/>
    <w:rsid w:val="004B5B56"/>
    <w:rsid w:val="004D342E"/>
    <w:rsid w:val="004D34C1"/>
    <w:rsid w:val="004E2177"/>
    <w:rsid w:val="004E47D1"/>
    <w:rsid w:val="004E535C"/>
    <w:rsid w:val="004F05DE"/>
    <w:rsid w:val="004F2EA9"/>
    <w:rsid w:val="004F6E77"/>
    <w:rsid w:val="0050142C"/>
    <w:rsid w:val="00503FB6"/>
    <w:rsid w:val="0050494E"/>
    <w:rsid w:val="00510622"/>
    <w:rsid w:val="00510CF6"/>
    <w:rsid w:val="00525D8E"/>
    <w:rsid w:val="00531DCA"/>
    <w:rsid w:val="005332D7"/>
    <w:rsid w:val="00534D53"/>
    <w:rsid w:val="00535BEC"/>
    <w:rsid w:val="005425ED"/>
    <w:rsid w:val="0054352D"/>
    <w:rsid w:val="00552F6F"/>
    <w:rsid w:val="00561035"/>
    <w:rsid w:val="005611E7"/>
    <w:rsid w:val="00563466"/>
    <w:rsid w:val="00563D89"/>
    <w:rsid w:val="005872EE"/>
    <w:rsid w:val="005876A8"/>
    <w:rsid w:val="00591D51"/>
    <w:rsid w:val="00593CFA"/>
    <w:rsid w:val="005A368C"/>
    <w:rsid w:val="005A50A9"/>
    <w:rsid w:val="005B008E"/>
    <w:rsid w:val="005B21F8"/>
    <w:rsid w:val="005B2A2A"/>
    <w:rsid w:val="005D3880"/>
    <w:rsid w:val="005D3F64"/>
    <w:rsid w:val="005E116D"/>
    <w:rsid w:val="005E2858"/>
    <w:rsid w:val="005E72B9"/>
    <w:rsid w:val="0060131C"/>
    <w:rsid w:val="0061154E"/>
    <w:rsid w:val="0061653F"/>
    <w:rsid w:val="00622C12"/>
    <w:rsid w:val="0062666A"/>
    <w:rsid w:val="00626D62"/>
    <w:rsid w:val="006401DC"/>
    <w:rsid w:val="00642731"/>
    <w:rsid w:val="00644BBF"/>
    <w:rsid w:val="00657AF3"/>
    <w:rsid w:val="0066239A"/>
    <w:rsid w:val="00665C7C"/>
    <w:rsid w:val="00680F04"/>
    <w:rsid w:val="00691A67"/>
    <w:rsid w:val="006A3938"/>
    <w:rsid w:val="006A67C0"/>
    <w:rsid w:val="006B6773"/>
    <w:rsid w:val="006C35AD"/>
    <w:rsid w:val="006D463E"/>
    <w:rsid w:val="006D4A3D"/>
    <w:rsid w:val="006E16D1"/>
    <w:rsid w:val="006E235C"/>
    <w:rsid w:val="006E2B42"/>
    <w:rsid w:val="006E6B2C"/>
    <w:rsid w:val="00705880"/>
    <w:rsid w:val="00735B43"/>
    <w:rsid w:val="00744CA3"/>
    <w:rsid w:val="0075062E"/>
    <w:rsid w:val="007549C6"/>
    <w:rsid w:val="00761DF2"/>
    <w:rsid w:val="0076765C"/>
    <w:rsid w:val="00772752"/>
    <w:rsid w:val="00787391"/>
    <w:rsid w:val="007923D0"/>
    <w:rsid w:val="00792BF0"/>
    <w:rsid w:val="007A12BE"/>
    <w:rsid w:val="007A7DCB"/>
    <w:rsid w:val="007B1F1D"/>
    <w:rsid w:val="007B32A9"/>
    <w:rsid w:val="007B7730"/>
    <w:rsid w:val="007B792F"/>
    <w:rsid w:val="007C6115"/>
    <w:rsid w:val="007D0887"/>
    <w:rsid w:val="007F02A1"/>
    <w:rsid w:val="008048B4"/>
    <w:rsid w:val="0080518A"/>
    <w:rsid w:val="008061E1"/>
    <w:rsid w:val="0084092F"/>
    <w:rsid w:val="00853FA1"/>
    <w:rsid w:val="0086282A"/>
    <w:rsid w:val="008650AA"/>
    <w:rsid w:val="008653C6"/>
    <w:rsid w:val="0086567A"/>
    <w:rsid w:val="0086799C"/>
    <w:rsid w:val="00882692"/>
    <w:rsid w:val="00884576"/>
    <w:rsid w:val="00885054"/>
    <w:rsid w:val="00891EDC"/>
    <w:rsid w:val="00893B79"/>
    <w:rsid w:val="008948F2"/>
    <w:rsid w:val="00895EBF"/>
    <w:rsid w:val="008A21D4"/>
    <w:rsid w:val="008B4152"/>
    <w:rsid w:val="008B501B"/>
    <w:rsid w:val="008C136A"/>
    <w:rsid w:val="008C29BE"/>
    <w:rsid w:val="008D2F69"/>
    <w:rsid w:val="008D53A1"/>
    <w:rsid w:val="008D7610"/>
    <w:rsid w:val="008E21DE"/>
    <w:rsid w:val="008E74D5"/>
    <w:rsid w:val="008F041C"/>
    <w:rsid w:val="008F60CD"/>
    <w:rsid w:val="009145CD"/>
    <w:rsid w:val="00925E09"/>
    <w:rsid w:val="00926F40"/>
    <w:rsid w:val="00936BB5"/>
    <w:rsid w:val="009456A5"/>
    <w:rsid w:val="0094655C"/>
    <w:rsid w:val="00954943"/>
    <w:rsid w:val="00957933"/>
    <w:rsid w:val="00960495"/>
    <w:rsid w:val="00963B7F"/>
    <w:rsid w:val="0097004C"/>
    <w:rsid w:val="00971C95"/>
    <w:rsid w:val="0097538A"/>
    <w:rsid w:val="00987C19"/>
    <w:rsid w:val="009A757E"/>
    <w:rsid w:val="009C0E01"/>
    <w:rsid w:val="009C13EA"/>
    <w:rsid w:val="009C5AB1"/>
    <w:rsid w:val="009D116F"/>
    <w:rsid w:val="009D3BE8"/>
    <w:rsid w:val="009D6D3E"/>
    <w:rsid w:val="009F003D"/>
    <w:rsid w:val="009F200E"/>
    <w:rsid w:val="009F6EFA"/>
    <w:rsid w:val="00A01369"/>
    <w:rsid w:val="00A0186A"/>
    <w:rsid w:val="00A07E4A"/>
    <w:rsid w:val="00A128D9"/>
    <w:rsid w:val="00A17B24"/>
    <w:rsid w:val="00A20771"/>
    <w:rsid w:val="00A21D94"/>
    <w:rsid w:val="00A32A0F"/>
    <w:rsid w:val="00A33BFB"/>
    <w:rsid w:val="00A40E08"/>
    <w:rsid w:val="00A475F2"/>
    <w:rsid w:val="00A51A9F"/>
    <w:rsid w:val="00A56018"/>
    <w:rsid w:val="00A614A6"/>
    <w:rsid w:val="00A6464E"/>
    <w:rsid w:val="00A65732"/>
    <w:rsid w:val="00A739D4"/>
    <w:rsid w:val="00A80B2F"/>
    <w:rsid w:val="00A82D34"/>
    <w:rsid w:val="00A843D4"/>
    <w:rsid w:val="00A8475F"/>
    <w:rsid w:val="00A96C7A"/>
    <w:rsid w:val="00A97A9E"/>
    <w:rsid w:val="00AA6399"/>
    <w:rsid w:val="00AB01D9"/>
    <w:rsid w:val="00AB12D5"/>
    <w:rsid w:val="00AB4EA4"/>
    <w:rsid w:val="00AB5370"/>
    <w:rsid w:val="00AC2E50"/>
    <w:rsid w:val="00AC33B3"/>
    <w:rsid w:val="00AC3F0A"/>
    <w:rsid w:val="00AC5C83"/>
    <w:rsid w:val="00AD1204"/>
    <w:rsid w:val="00AD2003"/>
    <w:rsid w:val="00AD735D"/>
    <w:rsid w:val="00AE3AC2"/>
    <w:rsid w:val="00AE3D77"/>
    <w:rsid w:val="00AF0035"/>
    <w:rsid w:val="00AF0899"/>
    <w:rsid w:val="00AF7C8D"/>
    <w:rsid w:val="00B00D9F"/>
    <w:rsid w:val="00B04756"/>
    <w:rsid w:val="00B05B77"/>
    <w:rsid w:val="00B157CE"/>
    <w:rsid w:val="00B205BE"/>
    <w:rsid w:val="00B26C6B"/>
    <w:rsid w:val="00B45648"/>
    <w:rsid w:val="00B56FE6"/>
    <w:rsid w:val="00B603C0"/>
    <w:rsid w:val="00B66C2A"/>
    <w:rsid w:val="00B7275D"/>
    <w:rsid w:val="00B7336A"/>
    <w:rsid w:val="00B74D51"/>
    <w:rsid w:val="00B8747C"/>
    <w:rsid w:val="00B90D0E"/>
    <w:rsid w:val="00B94305"/>
    <w:rsid w:val="00B95A5C"/>
    <w:rsid w:val="00B96F0B"/>
    <w:rsid w:val="00BA3DB6"/>
    <w:rsid w:val="00BA3E04"/>
    <w:rsid w:val="00BB001A"/>
    <w:rsid w:val="00BC7E53"/>
    <w:rsid w:val="00BD1FB1"/>
    <w:rsid w:val="00BD3666"/>
    <w:rsid w:val="00BE56C8"/>
    <w:rsid w:val="00BF5592"/>
    <w:rsid w:val="00C03854"/>
    <w:rsid w:val="00C0421C"/>
    <w:rsid w:val="00C05361"/>
    <w:rsid w:val="00C107B5"/>
    <w:rsid w:val="00C20CF5"/>
    <w:rsid w:val="00C47227"/>
    <w:rsid w:val="00C53253"/>
    <w:rsid w:val="00C53789"/>
    <w:rsid w:val="00C75CAF"/>
    <w:rsid w:val="00C75FAC"/>
    <w:rsid w:val="00C764F0"/>
    <w:rsid w:val="00C77939"/>
    <w:rsid w:val="00C837F2"/>
    <w:rsid w:val="00C85852"/>
    <w:rsid w:val="00C87AD7"/>
    <w:rsid w:val="00CA6BAF"/>
    <w:rsid w:val="00CB03BA"/>
    <w:rsid w:val="00CB54A8"/>
    <w:rsid w:val="00CB6C7B"/>
    <w:rsid w:val="00CC4F88"/>
    <w:rsid w:val="00CD34D1"/>
    <w:rsid w:val="00CD481D"/>
    <w:rsid w:val="00CE3670"/>
    <w:rsid w:val="00CE6A12"/>
    <w:rsid w:val="00CF7E63"/>
    <w:rsid w:val="00D00716"/>
    <w:rsid w:val="00D05E23"/>
    <w:rsid w:val="00D115FC"/>
    <w:rsid w:val="00D22FF9"/>
    <w:rsid w:val="00D236EE"/>
    <w:rsid w:val="00D2726D"/>
    <w:rsid w:val="00D316B6"/>
    <w:rsid w:val="00D46FAE"/>
    <w:rsid w:val="00D478CE"/>
    <w:rsid w:val="00D501E4"/>
    <w:rsid w:val="00D540A8"/>
    <w:rsid w:val="00D6519A"/>
    <w:rsid w:val="00DA3FD8"/>
    <w:rsid w:val="00DA7BE9"/>
    <w:rsid w:val="00DB4B35"/>
    <w:rsid w:val="00DC0226"/>
    <w:rsid w:val="00DC3364"/>
    <w:rsid w:val="00DC6C2A"/>
    <w:rsid w:val="00DC6DB6"/>
    <w:rsid w:val="00DD01D8"/>
    <w:rsid w:val="00DD498E"/>
    <w:rsid w:val="00DD62F1"/>
    <w:rsid w:val="00DE2F02"/>
    <w:rsid w:val="00DF39DB"/>
    <w:rsid w:val="00DF74BA"/>
    <w:rsid w:val="00E06B80"/>
    <w:rsid w:val="00E11BD2"/>
    <w:rsid w:val="00E159D1"/>
    <w:rsid w:val="00E2056D"/>
    <w:rsid w:val="00E23C82"/>
    <w:rsid w:val="00E35549"/>
    <w:rsid w:val="00E62E24"/>
    <w:rsid w:val="00E67209"/>
    <w:rsid w:val="00E82E3A"/>
    <w:rsid w:val="00E8310D"/>
    <w:rsid w:val="00E84480"/>
    <w:rsid w:val="00E93399"/>
    <w:rsid w:val="00E93EBA"/>
    <w:rsid w:val="00E96134"/>
    <w:rsid w:val="00EA0CD0"/>
    <w:rsid w:val="00EB065F"/>
    <w:rsid w:val="00EB50FA"/>
    <w:rsid w:val="00EB78AB"/>
    <w:rsid w:val="00ED1D9E"/>
    <w:rsid w:val="00EE2D0A"/>
    <w:rsid w:val="00EE4FD3"/>
    <w:rsid w:val="00EF6104"/>
    <w:rsid w:val="00EF7AB7"/>
    <w:rsid w:val="00EF7B12"/>
    <w:rsid w:val="00F20ACB"/>
    <w:rsid w:val="00F22725"/>
    <w:rsid w:val="00F276B3"/>
    <w:rsid w:val="00F4135D"/>
    <w:rsid w:val="00F41FD8"/>
    <w:rsid w:val="00F4476C"/>
    <w:rsid w:val="00F5588B"/>
    <w:rsid w:val="00F559EA"/>
    <w:rsid w:val="00F61121"/>
    <w:rsid w:val="00F62C14"/>
    <w:rsid w:val="00F86B38"/>
    <w:rsid w:val="00F9318C"/>
    <w:rsid w:val="00FB323D"/>
    <w:rsid w:val="00FC29D2"/>
    <w:rsid w:val="00FC4E55"/>
    <w:rsid w:val="00FD0C4F"/>
    <w:rsid w:val="00FD17E5"/>
    <w:rsid w:val="00FE1A50"/>
    <w:rsid w:val="00FE4D12"/>
    <w:rsid w:val="00FF08F5"/>
    <w:rsid w:val="00FF2769"/>
    <w:rsid w:val="00FF5CA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238337"/>
  <w15:chartTrackingRefBased/>
  <w15:docId w15:val="{465A0CA5-D0FA-4CA6-BAB7-407B2E42E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en-AU" w:eastAsia="en-US" w:bidi="ar-SA"/>
      </w:rPr>
    </w:rPrDefault>
    <w:pPrDefault>
      <w:pPr>
        <w:spacing w:before="120" w:after="12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2C9"/>
    <w:rPr>
      <w:rFonts w:ascii="Raleway" w:hAnsi="Raleway"/>
      <w:sz w:val="22"/>
      <w:szCs w:val="22"/>
    </w:rPr>
  </w:style>
  <w:style w:type="paragraph" w:styleId="Heading1">
    <w:name w:val="heading 1"/>
    <w:basedOn w:val="Title"/>
    <w:next w:val="Normal"/>
    <w:link w:val="Heading1Char"/>
    <w:uiPriority w:val="9"/>
    <w:qFormat/>
    <w:rsid w:val="00EF7AB7"/>
    <w:rPr>
      <w:rFonts w:ascii="Raleway" w:hAnsi="Raleway"/>
    </w:rPr>
  </w:style>
  <w:style w:type="paragraph" w:styleId="Heading2">
    <w:name w:val="heading 2"/>
    <w:basedOn w:val="Normal"/>
    <w:next w:val="Normal"/>
    <w:link w:val="Heading2Char"/>
    <w:uiPriority w:val="9"/>
    <w:qFormat/>
    <w:rsid w:val="00EF7AB7"/>
    <w:pPr>
      <w:keepNext/>
      <w:keepLines/>
      <w:spacing w:before="360" w:line="480" w:lineRule="atLeast"/>
      <w:outlineLvl w:val="1"/>
    </w:pPr>
    <w:rPr>
      <w:rFonts w:eastAsiaTheme="majorEastAsia" w:cstheme="majorBidi"/>
      <w:b/>
      <w:caps/>
      <w:sz w:val="36"/>
      <w:szCs w:val="26"/>
    </w:rPr>
  </w:style>
  <w:style w:type="paragraph" w:styleId="Heading3">
    <w:name w:val="heading 3"/>
    <w:basedOn w:val="Normal"/>
    <w:next w:val="Normal"/>
    <w:link w:val="Heading3Char"/>
    <w:uiPriority w:val="9"/>
    <w:qFormat/>
    <w:rsid w:val="00CE3670"/>
    <w:pPr>
      <w:keepNext/>
      <w:keepLines/>
      <w:spacing w:before="360" w:line="360" w:lineRule="atLeast"/>
      <w:outlineLvl w:val="2"/>
    </w:pPr>
    <w:rPr>
      <w:rFonts w:asciiTheme="majorHAnsi" w:eastAsiaTheme="majorEastAsia" w:hAnsiTheme="majorHAnsi" w:cstheme="majorBidi"/>
      <w:b/>
      <w:caps/>
      <w:color w:val="64696F" w:themeColor="accent3"/>
      <w:sz w:val="28"/>
      <w:szCs w:val="24"/>
    </w:rPr>
  </w:style>
  <w:style w:type="paragraph" w:styleId="Heading4">
    <w:name w:val="heading 4"/>
    <w:basedOn w:val="Normal"/>
    <w:next w:val="Normal"/>
    <w:link w:val="Heading4Char"/>
    <w:uiPriority w:val="9"/>
    <w:unhideWhenUsed/>
    <w:qFormat/>
    <w:rsid w:val="00CE3670"/>
    <w:pPr>
      <w:keepNext/>
      <w:keepLines/>
      <w:spacing w:before="360" w:line="360" w:lineRule="atLeast"/>
      <w:outlineLvl w:val="3"/>
    </w:pPr>
    <w:rPr>
      <w:rFonts w:eastAsiaTheme="majorEastAsia" w:cstheme="majorBidi"/>
      <w:b/>
      <w:iCs/>
      <w:color w:val="64696F" w:themeColor="accent3"/>
      <w:sz w:val="28"/>
    </w:rPr>
  </w:style>
  <w:style w:type="paragraph" w:styleId="Heading5">
    <w:name w:val="heading 5"/>
    <w:basedOn w:val="Normal"/>
    <w:next w:val="Normal"/>
    <w:link w:val="Heading5Char"/>
    <w:uiPriority w:val="9"/>
    <w:unhideWhenUsed/>
    <w:qFormat/>
    <w:rsid w:val="00CE3670"/>
    <w:pPr>
      <w:keepNext/>
      <w:keepLines/>
      <w:spacing w:before="360" w:line="320" w:lineRule="atLeast"/>
      <w:outlineLvl w:val="4"/>
    </w:pPr>
    <w:rPr>
      <w:rFonts w:eastAsiaTheme="majorEastAsia" w:cstheme="majorBidi"/>
      <w:b/>
      <w:i/>
      <w:color w:val="231F20" w:themeColor="text2"/>
      <w:sz w:val="24"/>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3670"/>
    <w:pPr>
      <w:tabs>
        <w:tab w:val="center" w:pos="4513"/>
        <w:tab w:val="right" w:pos="9026"/>
      </w:tabs>
      <w:spacing w:before="0" w:after="0" w:line="180" w:lineRule="atLeast"/>
    </w:pPr>
    <w:rPr>
      <w:rFonts w:asciiTheme="majorHAnsi" w:hAnsiTheme="majorHAnsi"/>
      <w:sz w:val="14"/>
    </w:rPr>
  </w:style>
  <w:style w:type="character" w:customStyle="1" w:styleId="HeaderChar">
    <w:name w:val="Header Char"/>
    <w:basedOn w:val="DefaultParagraphFont"/>
    <w:link w:val="Header"/>
    <w:uiPriority w:val="99"/>
    <w:rsid w:val="00CE3670"/>
    <w:rPr>
      <w:rFonts w:asciiTheme="majorHAnsi" w:hAnsiTheme="majorHAnsi"/>
      <w:sz w:val="14"/>
    </w:rPr>
  </w:style>
  <w:style w:type="paragraph" w:styleId="Footer">
    <w:name w:val="footer"/>
    <w:basedOn w:val="Normal"/>
    <w:link w:val="FooterChar"/>
    <w:uiPriority w:val="99"/>
    <w:rsid w:val="006A67C0"/>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A67C0"/>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EF7AB7"/>
    <w:rPr>
      <w:rFonts w:ascii="Raleway" w:eastAsiaTheme="majorEastAsia" w:hAnsi="Raleway" w:cstheme="majorBidi"/>
      <w:b/>
      <w:caps/>
      <w:sz w:val="36"/>
      <w:szCs w:val="26"/>
    </w:rPr>
  </w:style>
  <w:style w:type="paragraph" w:customStyle="1" w:styleId="AppendixNumbered">
    <w:name w:val="Appendix Numbered"/>
    <w:basedOn w:val="Heading2"/>
    <w:uiPriority w:val="11"/>
    <w:qFormat/>
    <w:rsid w:val="00CE3670"/>
    <w:pPr>
      <w:pageBreakBefore/>
      <w:numPr>
        <w:numId w:val="2"/>
      </w:numPr>
    </w:pPr>
  </w:style>
  <w:style w:type="numbering" w:customStyle="1" w:styleId="AppendixNumbers">
    <w:name w:val="Appendix Numbers"/>
    <w:uiPriority w:val="99"/>
    <w:rsid w:val="00CE3670"/>
    <w:pPr>
      <w:numPr>
        <w:numId w:val="3"/>
      </w:numPr>
    </w:pPr>
  </w:style>
  <w:style w:type="paragraph" w:customStyle="1" w:styleId="Boxed1Text">
    <w:name w:val="Boxed 1 Text"/>
    <w:basedOn w:val="Normal"/>
    <w:uiPriority w:val="29"/>
    <w:qFormat/>
    <w:rsid w:val="007B7730"/>
    <w:pPr>
      <w:pBdr>
        <w:top w:val="single" w:sz="4" w:space="23" w:color="00A841" w:themeColor="accent1"/>
        <w:left w:val="single" w:sz="4" w:space="23" w:color="00A841" w:themeColor="accent1"/>
        <w:bottom w:val="single" w:sz="4" w:space="23" w:color="00A841" w:themeColor="accent1"/>
        <w:right w:val="single" w:sz="4" w:space="23" w:color="00A841" w:themeColor="accent1"/>
      </w:pBdr>
      <w:shd w:val="clear" w:color="auto" w:fill="00A841" w:themeFill="accent1"/>
      <w:spacing w:line="360" w:lineRule="atLeast"/>
      <w:ind w:left="454" w:right="454"/>
    </w:pPr>
    <w:rPr>
      <w:sz w:val="28"/>
      <w:szCs w:val="28"/>
    </w:rPr>
  </w:style>
  <w:style w:type="paragraph" w:customStyle="1" w:styleId="Boxed1Bullet">
    <w:name w:val="Boxed 1 Bullet"/>
    <w:basedOn w:val="Boxed1Text"/>
    <w:uiPriority w:val="30"/>
    <w:qFormat/>
    <w:rsid w:val="005876A8"/>
    <w:pPr>
      <w:numPr>
        <w:numId w:val="4"/>
      </w:numPr>
      <w:ind w:left="794" w:hanging="340"/>
    </w:pPr>
  </w:style>
  <w:style w:type="paragraph" w:customStyle="1" w:styleId="Boxed1Heading">
    <w:name w:val="Boxed 1 Heading"/>
    <w:basedOn w:val="Boxed1Text"/>
    <w:uiPriority w:val="29"/>
    <w:qFormat/>
    <w:rsid w:val="007B7730"/>
    <w:pPr>
      <w:keepNext/>
    </w:pPr>
    <w:rPr>
      <w:b/>
      <w:i/>
      <w:iCs/>
    </w:rPr>
  </w:style>
  <w:style w:type="paragraph" w:customStyle="1" w:styleId="Boxed2Text">
    <w:name w:val="Boxed 2 Text"/>
    <w:basedOn w:val="Boxed1Text"/>
    <w:uiPriority w:val="31"/>
    <w:qFormat/>
    <w:rsid w:val="005876A8"/>
    <w:pPr>
      <w:shd w:val="clear" w:color="auto" w:fill="auto"/>
      <w:spacing w:line="280" w:lineRule="atLeast"/>
    </w:pPr>
    <w:rPr>
      <w:sz w:val="20"/>
      <w:szCs w:val="20"/>
    </w:rPr>
  </w:style>
  <w:style w:type="paragraph" w:customStyle="1" w:styleId="Boxed2Bullet">
    <w:name w:val="Boxed 2 Bullet"/>
    <w:basedOn w:val="Boxed2Text"/>
    <w:uiPriority w:val="32"/>
    <w:qFormat/>
    <w:rsid w:val="005876A8"/>
    <w:pPr>
      <w:numPr>
        <w:ilvl w:val="1"/>
        <w:numId w:val="4"/>
      </w:numPr>
      <w:ind w:left="794" w:hanging="340"/>
    </w:pPr>
  </w:style>
  <w:style w:type="paragraph" w:customStyle="1" w:styleId="Boxed2Heading">
    <w:name w:val="Boxed 2 Heading"/>
    <w:basedOn w:val="Boxed2Text"/>
    <w:uiPriority w:val="31"/>
    <w:qFormat/>
    <w:rsid w:val="005876A8"/>
    <w:pPr>
      <w:keepNext/>
    </w:pPr>
    <w:rPr>
      <w:b/>
      <w:sz w:val="22"/>
    </w:rPr>
  </w:style>
  <w:style w:type="numbering" w:customStyle="1" w:styleId="BoxedBullets">
    <w:name w:val="Boxed Bullets"/>
    <w:uiPriority w:val="99"/>
    <w:rsid w:val="00AF0899"/>
    <w:pPr>
      <w:numPr>
        <w:numId w:val="5"/>
      </w:numPr>
    </w:pPr>
  </w:style>
  <w:style w:type="paragraph" w:customStyle="1" w:styleId="Bullet1">
    <w:name w:val="Bullet 1"/>
    <w:basedOn w:val="Normal"/>
    <w:uiPriority w:val="2"/>
    <w:qFormat/>
    <w:rsid w:val="00CE3670"/>
    <w:pPr>
      <w:numPr>
        <w:numId w:val="12"/>
      </w:numPr>
    </w:pPr>
  </w:style>
  <w:style w:type="paragraph" w:customStyle="1" w:styleId="Bullet2">
    <w:name w:val="Bullet 2"/>
    <w:basedOn w:val="Normal"/>
    <w:uiPriority w:val="2"/>
    <w:qFormat/>
    <w:rsid w:val="00CE3670"/>
    <w:pPr>
      <w:numPr>
        <w:ilvl w:val="1"/>
        <w:numId w:val="12"/>
      </w:numPr>
    </w:pPr>
  </w:style>
  <w:style w:type="paragraph" w:customStyle="1" w:styleId="Bullet3">
    <w:name w:val="Bullet 3"/>
    <w:basedOn w:val="Normal"/>
    <w:uiPriority w:val="2"/>
    <w:qFormat/>
    <w:rsid w:val="00CE3670"/>
    <w:pPr>
      <w:numPr>
        <w:ilvl w:val="2"/>
        <w:numId w:val="12"/>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D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84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84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84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841" w:themeFill="accent1"/>
      </w:tcPr>
    </w:tblStylePr>
    <w:tblStylePr w:type="band1Vert">
      <w:tblPr/>
      <w:tcPr>
        <w:shd w:val="clear" w:color="auto" w:fill="76FFAA" w:themeFill="accent1" w:themeFillTint="66"/>
      </w:tcPr>
    </w:tblStylePr>
    <w:tblStylePr w:type="band1Horz">
      <w:tblPr/>
      <w:tcPr>
        <w:shd w:val="clear" w:color="auto" w:fill="76FFAA" w:themeFill="accent1" w:themeFillTint="66"/>
      </w:tcPr>
    </w:tblStylePr>
  </w:style>
  <w:style w:type="table" w:customStyle="1" w:styleId="WSADefaultTable1">
    <w:name w:val="WSA Default Table 1"/>
    <w:basedOn w:val="TableNormal"/>
    <w:uiPriority w:val="99"/>
    <w:rsid w:val="007B7730"/>
    <w:pPr>
      <w:spacing w:before="60" w:after="60" w:line="240" w:lineRule="auto"/>
    </w:pPr>
    <w:rPr>
      <w:sz w:val="18"/>
    </w:rPr>
    <w:tblPr>
      <w:tblStyleRowBandSize w:val="1"/>
      <w:tblStyleColBandSize w:val="1"/>
      <w:tblBorders>
        <w:top w:val="single" w:sz="4" w:space="0" w:color="64696F" w:themeColor="accent3"/>
        <w:bottom w:val="single" w:sz="4" w:space="0" w:color="64696F" w:themeColor="accent3"/>
        <w:insideH w:val="single" w:sz="4" w:space="0" w:color="64696F" w:themeColor="accent3"/>
      </w:tblBorders>
      <w:tblCellMar>
        <w:top w:w="57" w:type="dxa"/>
        <w:left w:w="57" w:type="dxa"/>
        <w:bottom w:w="57" w:type="dxa"/>
        <w:right w:w="57" w:type="dxa"/>
      </w:tblCellMar>
    </w:tblPr>
    <w:tblStylePr w:type="firstRow">
      <w:rPr>
        <w:b/>
      </w:rPr>
      <w:tblPr/>
      <w:tcPr>
        <w:shd w:val="clear" w:color="auto" w:fill="00A841" w:themeFill="accent1"/>
      </w:tcPr>
    </w:tblStylePr>
    <w:tblStylePr w:type="lastRow">
      <w:rPr>
        <w:b/>
      </w:rPr>
    </w:tblStylePr>
    <w:tblStylePr w:type="firstCol">
      <w:rPr>
        <w:b/>
      </w:rPr>
      <w:tblPr/>
      <w:tcPr>
        <w:shd w:val="clear" w:color="auto" w:fill="00A841" w:themeFill="accent1"/>
      </w:tcPr>
    </w:tblStylePr>
    <w:tblStylePr w:type="lastCol">
      <w:pPr>
        <w:jc w:val="right"/>
      </w:pPr>
      <w:rPr>
        <w:b/>
      </w:rPr>
    </w:tblStylePr>
    <w:tblStylePr w:type="band1Vert">
      <w:tblPr/>
      <w:tcPr>
        <w:shd w:val="clear" w:color="auto" w:fill="FFFFFF" w:themeFill="background1"/>
      </w:tcPr>
    </w:tblStylePr>
    <w:tblStylePr w:type="band2Vert">
      <w:tblPr/>
      <w:tcPr>
        <w:shd w:val="clear" w:color="auto" w:fill="D1D3D3" w:themeFill="background2"/>
      </w:tcPr>
    </w:tblStylePr>
    <w:tblStylePr w:type="band1Horz">
      <w:tblPr/>
      <w:tcPr>
        <w:shd w:val="clear" w:color="auto" w:fill="F2F2F2" w:themeFill="background1" w:themeFillShade="F2"/>
      </w:tcPr>
    </w:tblStylePr>
    <w:tblStylePr w:type="band2Horz">
      <w:tblPr/>
      <w:tcPr>
        <w:shd w:val="clear" w:color="auto" w:fill="D1D3D3" w:themeFill="background2"/>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CE3670"/>
    <w:pPr>
      <w:numPr>
        <w:numId w:val="6"/>
      </w:numPr>
    </w:pPr>
  </w:style>
  <w:style w:type="paragraph" w:customStyle="1" w:styleId="FigureTitle">
    <w:name w:val="Figure Title"/>
    <w:basedOn w:val="Normal"/>
    <w:uiPriority w:val="12"/>
    <w:qFormat/>
    <w:rsid w:val="00CE3670"/>
    <w:pPr>
      <w:keepNext/>
      <w:numPr>
        <w:numId w:val="14"/>
      </w:numPr>
      <w:spacing w:before="240"/>
    </w:pPr>
    <w:rPr>
      <w:rFonts w:asciiTheme="majorHAnsi" w:hAnsiTheme="majorHAnsi"/>
      <w:caps/>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rsid w:val="00CE3670"/>
    <w:pPr>
      <w:spacing w:before="60" w:after="60" w:line="200" w:lineRule="atLeast"/>
    </w:pPr>
    <w:rPr>
      <w:sz w:val="16"/>
    </w:rPr>
  </w:style>
  <w:style w:type="character" w:customStyle="1" w:styleId="FootnoteTextChar">
    <w:name w:val="Footnote Text Char"/>
    <w:basedOn w:val="DefaultParagraphFont"/>
    <w:link w:val="FootnoteText"/>
    <w:rsid w:val="00CE3670"/>
    <w:rPr>
      <w:sz w:val="16"/>
    </w:rPr>
  </w:style>
  <w:style w:type="character" w:customStyle="1" w:styleId="Heading1Char">
    <w:name w:val="Heading 1 Char"/>
    <w:basedOn w:val="DefaultParagraphFont"/>
    <w:link w:val="Heading1"/>
    <w:uiPriority w:val="9"/>
    <w:rsid w:val="00EF7AB7"/>
    <w:rPr>
      <w:rFonts w:ascii="Raleway" w:eastAsiaTheme="majorEastAsia" w:hAnsi="Raleway" w:cstheme="majorBidi"/>
      <w:caps/>
      <w:kern w:val="28"/>
      <w:sz w:val="48"/>
      <w:szCs w:val="56"/>
    </w:rPr>
  </w:style>
  <w:style w:type="character" w:customStyle="1" w:styleId="Heading3Char">
    <w:name w:val="Heading 3 Char"/>
    <w:basedOn w:val="DefaultParagraphFont"/>
    <w:link w:val="Heading3"/>
    <w:uiPriority w:val="9"/>
    <w:rsid w:val="00CE3670"/>
    <w:rPr>
      <w:rFonts w:asciiTheme="majorHAnsi" w:eastAsiaTheme="majorEastAsia" w:hAnsiTheme="majorHAnsi" w:cstheme="majorBidi"/>
      <w:b/>
      <w:caps/>
      <w:color w:val="64696F" w:themeColor="accent3"/>
      <w:sz w:val="28"/>
      <w:szCs w:val="24"/>
    </w:rPr>
  </w:style>
  <w:style w:type="character" w:customStyle="1" w:styleId="Heading4Char">
    <w:name w:val="Heading 4 Char"/>
    <w:basedOn w:val="DefaultParagraphFont"/>
    <w:link w:val="Heading4"/>
    <w:uiPriority w:val="9"/>
    <w:rsid w:val="00CE3670"/>
    <w:rPr>
      <w:rFonts w:eastAsiaTheme="majorEastAsia" w:cstheme="majorBidi"/>
      <w:b/>
      <w:iCs/>
      <w:color w:val="64696F" w:themeColor="accent3"/>
      <w:sz w:val="28"/>
    </w:rPr>
  </w:style>
  <w:style w:type="character" w:customStyle="1" w:styleId="Heading5Char">
    <w:name w:val="Heading 5 Char"/>
    <w:basedOn w:val="DefaultParagraphFont"/>
    <w:link w:val="Heading5"/>
    <w:uiPriority w:val="9"/>
    <w:rsid w:val="00CE3670"/>
    <w:rPr>
      <w:rFonts w:eastAsiaTheme="majorEastAsia" w:cstheme="majorBidi"/>
      <w:b/>
      <w:i/>
      <w:color w:val="231F20" w:themeColor="text2"/>
      <w:sz w:val="24"/>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EF7AB7"/>
    <w:rPr>
      <w:b/>
      <w:bCs/>
    </w:rPr>
  </w:style>
  <w:style w:type="numbering" w:customStyle="1" w:styleId="List1Numbered">
    <w:name w:val="List 1 Numbered"/>
    <w:uiPriority w:val="99"/>
    <w:rsid w:val="00CE3670"/>
    <w:pPr>
      <w:numPr>
        <w:numId w:val="7"/>
      </w:numPr>
    </w:pPr>
  </w:style>
  <w:style w:type="paragraph" w:customStyle="1" w:styleId="List1Numbered1">
    <w:name w:val="List 1 Numbered 1"/>
    <w:basedOn w:val="Normal"/>
    <w:uiPriority w:val="2"/>
    <w:qFormat/>
    <w:rsid w:val="00CE3670"/>
    <w:pPr>
      <w:numPr>
        <w:numId w:val="13"/>
      </w:numPr>
    </w:pPr>
  </w:style>
  <w:style w:type="paragraph" w:customStyle="1" w:styleId="List1Numbered2">
    <w:name w:val="List 1 Numbered 2"/>
    <w:basedOn w:val="Normal"/>
    <w:uiPriority w:val="2"/>
    <w:qFormat/>
    <w:rsid w:val="00CE3670"/>
    <w:pPr>
      <w:numPr>
        <w:ilvl w:val="1"/>
        <w:numId w:val="13"/>
      </w:numPr>
    </w:pPr>
  </w:style>
  <w:style w:type="paragraph" w:customStyle="1" w:styleId="List1Numbered3">
    <w:name w:val="List 1 Numbered 3"/>
    <w:basedOn w:val="Normal"/>
    <w:uiPriority w:val="2"/>
    <w:qFormat/>
    <w:rsid w:val="00CE3670"/>
    <w:pPr>
      <w:numPr>
        <w:ilvl w:val="2"/>
        <w:numId w:val="13"/>
      </w:numPr>
    </w:pPr>
  </w:style>
  <w:style w:type="paragraph" w:styleId="NoSpacing">
    <w:name w:val="No Spacing"/>
    <w:uiPriority w:val="1"/>
    <w:qFormat/>
    <w:rsid w:val="00E06B80"/>
    <w:pPr>
      <w:contextualSpacing/>
    </w:pPr>
  </w:style>
  <w:style w:type="paragraph" w:customStyle="1" w:styleId="NormalIndent6mm">
    <w:name w:val="Normal Indent 6mm"/>
    <w:basedOn w:val="Normal"/>
    <w:qFormat/>
    <w:rsid w:val="00CE3670"/>
    <w:pPr>
      <w:ind w:left="340"/>
    </w:pPr>
  </w:style>
  <w:style w:type="numbering" w:customStyle="1" w:styleId="NumberedHeadings">
    <w:name w:val="Numbered Headings"/>
    <w:uiPriority w:val="99"/>
    <w:rsid w:val="003449A0"/>
    <w:pPr>
      <w:numPr>
        <w:numId w:val="8"/>
      </w:numPr>
    </w:pPr>
  </w:style>
  <w:style w:type="paragraph" w:customStyle="1" w:styleId="PullOut">
    <w:name w:val="Pull Out"/>
    <w:basedOn w:val="Normal"/>
    <w:uiPriority w:val="22"/>
    <w:qFormat/>
    <w:rsid w:val="007B7730"/>
    <w:pPr>
      <w:spacing w:before="360" w:after="360" w:line="340" w:lineRule="atLeast"/>
    </w:pPr>
    <w:rPr>
      <w:b/>
      <w:color w:val="00A841" w:themeColor="accent1"/>
      <w:sz w:val="28"/>
    </w:rPr>
  </w:style>
  <w:style w:type="paragraph" w:customStyle="1" w:styleId="SourceNotes">
    <w:name w:val="Source Notes"/>
    <w:basedOn w:val="Normal"/>
    <w:uiPriority w:val="21"/>
    <w:qFormat/>
    <w:rsid w:val="005876A8"/>
    <w:pPr>
      <w:spacing w:before="60" w:after="60" w:line="200" w:lineRule="atLeast"/>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9"/>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6A67C0"/>
    <w:pPr>
      <w:keepLines/>
      <w:numPr>
        <w:ilvl w:val="1"/>
      </w:numPr>
      <w:spacing w:before="600"/>
      <w:contextualSpacing/>
    </w:pPr>
    <w:rPr>
      <w:rFonts w:eastAsiaTheme="minorEastAsia"/>
    </w:rPr>
  </w:style>
  <w:style w:type="character" w:customStyle="1" w:styleId="SubtitleChar">
    <w:name w:val="Subtitle Char"/>
    <w:basedOn w:val="DefaultParagraphFont"/>
    <w:link w:val="Subtitle"/>
    <w:uiPriority w:val="23"/>
    <w:rsid w:val="006A67C0"/>
    <w:rPr>
      <w:rFonts w:eastAsiaTheme="minorEastAsia"/>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CE3670"/>
    <w:pPr>
      <w:numPr>
        <w:numId w:val="10"/>
      </w:numPr>
    </w:pPr>
  </w:style>
  <w:style w:type="paragraph" w:customStyle="1" w:styleId="TableTitle">
    <w:name w:val="Table Title"/>
    <w:basedOn w:val="FigureTitle"/>
    <w:uiPriority w:val="12"/>
    <w:qFormat/>
    <w:rsid w:val="00CE3670"/>
    <w:pPr>
      <w:numPr>
        <w:numId w:val="15"/>
      </w:numPr>
    </w:pPr>
  </w:style>
  <w:style w:type="paragraph" w:styleId="Title">
    <w:name w:val="Title"/>
    <w:basedOn w:val="Normal"/>
    <w:next w:val="Normal"/>
    <w:link w:val="TitleChar"/>
    <w:uiPriority w:val="22"/>
    <w:qFormat/>
    <w:rsid w:val="006A67C0"/>
    <w:pPr>
      <w:keepLines/>
      <w:spacing w:before="0" w:after="600" w:line="480" w:lineRule="exact"/>
      <w:contextualSpacing/>
      <w:outlineLvl w:val="0"/>
    </w:pPr>
    <w:rPr>
      <w:rFonts w:ascii="Arial Black" w:eastAsiaTheme="majorEastAsia" w:hAnsi="Arial Black" w:cstheme="majorBidi"/>
      <w:caps/>
      <w:kern w:val="28"/>
      <w:sz w:val="48"/>
      <w:szCs w:val="56"/>
    </w:rPr>
  </w:style>
  <w:style w:type="character" w:customStyle="1" w:styleId="TitleChar">
    <w:name w:val="Title Char"/>
    <w:basedOn w:val="DefaultParagraphFont"/>
    <w:link w:val="Title"/>
    <w:uiPriority w:val="22"/>
    <w:rsid w:val="006A67C0"/>
    <w:rPr>
      <w:rFonts w:ascii="Arial Black" w:eastAsiaTheme="majorEastAsia" w:hAnsi="Arial Black" w:cstheme="majorBidi"/>
      <w:caps/>
      <w:kern w:val="28"/>
      <w:sz w:val="48"/>
      <w:szCs w:val="56"/>
    </w:rPr>
  </w:style>
  <w:style w:type="paragraph" w:styleId="TOC1">
    <w:name w:val="toc 1"/>
    <w:basedOn w:val="Normal"/>
    <w:next w:val="Normal"/>
    <w:autoRedefine/>
    <w:uiPriority w:val="39"/>
    <w:rsid w:val="007B7730"/>
    <w:pPr>
      <w:keepNext/>
      <w:tabs>
        <w:tab w:val="right" w:pos="10546"/>
      </w:tabs>
      <w:spacing w:line="340" w:lineRule="atLeast"/>
    </w:pPr>
    <w:rPr>
      <w:rFonts w:asciiTheme="majorHAnsi" w:hAnsiTheme="majorHAnsi" w:cs="Times New Roman (Body CS)"/>
      <w:b/>
      <w:color w:val="auto"/>
      <w:sz w:val="24"/>
      <w:u w:val="single" w:color="00A841" w:themeColor="accent1"/>
    </w:rPr>
  </w:style>
  <w:style w:type="paragraph" w:styleId="TOC2">
    <w:name w:val="toc 2"/>
    <w:basedOn w:val="Normal"/>
    <w:next w:val="Normal"/>
    <w:autoRedefine/>
    <w:uiPriority w:val="39"/>
    <w:rsid w:val="005876A8"/>
    <w:pPr>
      <w:tabs>
        <w:tab w:val="right" w:pos="10546"/>
      </w:tabs>
      <w:spacing w:after="60"/>
      <w:ind w:left="567" w:hanging="567"/>
    </w:pPr>
    <w:rPr>
      <w:rFonts w:asciiTheme="majorHAnsi" w:hAnsiTheme="majorHAnsi"/>
      <w:b/>
    </w:rPr>
  </w:style>
  <w:style w:type="paragraph" w:styleId="TOC3">
    <w:name w:val="toc 3"/>
    <w:basedOn w:val="Normal"/>
    <w:next w:val="Normal"/>
    <w:autoRedefine/>
    <w:uiPriority w:val="39"/>
    <w:rsid w:val="005876A8"/>
    <w:pPr>
      <w:tabs>
        <w:tab w:val="right" w:pos="10546"/>
      </w:tabs>
      <w:spacing w:before="60" w:after="60"/>
      <w:ind w:left="567"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CE3670"/>
    <w:pPr>
      <w:numPr>
        <w:numId w:val="11"/>
      </w:numPr>
    </w:pPr>
  </w:style>
  <w:style w:type="paragraph" w:styleId="ListParagraph">
    <w:name w:val="List Paragraph"/>
    <w:aliases w:val="Clause text,Recommendation,FooterText,Bullet List,List Paragraph1,numbered,Paragraphe de liste1,Bulletr List Paragraph,列出段落,列出段落1,Listeafsnit1,Parágrafo da Lista1,List Paragraph2,List Paragraph21,リスト段落1,Párrafo de lista1,Bullet list,L,列出段"/>
    <w:basedOn w:val="Normal"/>
    <w:link w:val="ListParagraphChar"/>
    <w:qFormat/>
    <w:rsid w:val="00122A14"/>
    <w:pPr>
      <w:spacing w:before="0" w:after="160" w:line="259" w:lineRule="auto"/>
      <w:ind w:left="720"/>
      <w:contextualSpacing/>
    </w:pPr>
    <w:rPr>
      <w:color w:val="auto"/>
    </w:rPr>
  </w:style>
  <w:style w:type="character" w:customStyle="1" w:styleId="ListParagraphChar">
    <w:name w:val="List Paragraph Char"/>
    <w:aliases w:val="Clause text Char,Recommendation Char,FooterText Char,Bullet List Char,List Paragraph1 Char,numbered Char,Paragraphe de liste1 Char,Bulletr List Paragraph Char,列出段落 Char,列出段落1 Char,Listeafsnit1 Char,Parágrafo da Lista1 Char,L Char"/>
    <w:link w:val="ListParagraph"/>
    <w:locked/>
    <w:rsid w:val="00122A14"/>
    <w:rPr>
      <w:color w:val="auto"/>
      <w:sz w:val="22"/>
      <w:szCs w:val="22"/>
    </w:rPr>
  </w:style>
  <w:style w:type="character" w:styleId="UnresolvedMention">
    <w:name w:val="Unresolved Mention"/>
    <w:basedOn w:val="DefaultParagraphFont"/>
    <w:uiPriority w:val="99"/>
    <w:semiHidden/>
    <w:unhideWhenUsed/>
    <w:rsid w:val="00E62E24"/>
    <w:rPr>
      <w:color w:val="605E5C"/>
      <w:shd w:val="clear" w:color="auto" w:fill="E1DFDD"/>
    </w:rPr>
  </w:style>
  <w:style w:type="character" w:styleId="CommentReference">
    <w:name w:val="annotation reference"/>
    <w:basedOn w:val="DefaultParagraphFont"/>
    <w:uiPriority w:val="99"/>
    <w:semiHidden/>
    <w:unhideWhenUsed/>
    <w:rsid w:val="00C107B5"/>
    <w:rPr>
      <w:sz w:val="16"/>
      <w:szCs w:val="16"/>
    </w:rPr>
  </w:style>
  <w:style w:type="paragraph" w:styleId="CommentText">
    <w:name w:val="annotation text"/>
    <w:basedOn w:val="Normal"/>
    <w:link w:val="CommentTextChar"/>
    <w:uiPriority w:val="99"/>
    <w:unhideWhenUsed/>
    <w:rsid w:val="00C107B5"/>
    <w:pPr>
      <w:spacing w:line="240" w:lineRule="auto"/>
    </w:pPr>
  </w:style>
  <w:style w:type="character" w:customStyle="1" w:styleId="CommentTextChar">
    <w:name w:val="Comment Text Char"/>
    <w:basedOn w:val="DefaultParagraphFont"/>
    <w:link w:val="CommentText"/>
    <w:uiPriority w:val="99"/>
    <w:rsid w:val="00C107B5"/>
  </w:style>
  <w:style w:type="paragraph" w:styleId="CommentSubject">
    <w:name w:val="annotation subject"/>
    <w:basedOn w:val="CommentText"/>
    <w:next w:val="CommentText"/>
    <w:link w:val="CommentSubjectChar"/>
    <w:uiPriority w:val="99"/>
    <w:semiHidden/>
    <w:unhideWhenUsed/>
    <w:rsid w:val="00C107B5"/>
    <w:rPr>
      <w:b/>
      <w:bCs/>
    </w:rPr>
  </w:style>
  <w:style w:type="character" w:customStyle="1" w:styleId="CommentSubjectChar">
    <w:name w:val="Comment Subject Char"/>
    <w:basedOn w:val="CommentTextChar"/>
    <w:link w:val="CommentSubject"/>
    <w:uiPriority w:val="99"/>
    <w:semiHidden/>
    <w:rsid w:val="00C107B5"/>
    <w:rPr>
      <w:b/>
      <w:bCs/>
    </w:rPr>
  </w:style>
  <w:style w:type="paragraph" w:styleId="Revision">
    <w:name w:val="Revision"/>
    <w:hidden/>
    <w:uiPriority w:val="99"/>
    <w:semiHidden/>
    <w:rsid w:val="00D316B6"/>
    <w:pPr>
      <w:spacing w:before="0" w:after="0" w:line="240" w:lineRule="auto"/>
    </w:pPr>
    <w:rPr>
      <w:rFonts w:ascii="Raleway" w:hAnsi="Raleway"/>
      <w:sz w:val="22"/>
      <w:szCs w:val="22"/>
    </w:rPr>
  </w:style>
  <w:style w:type="character" w:customStyle="1" w:styleId="field-content">
    <w:name w:val="field-content"/>
    <w:basedOn w:val="DefaultParagraphFont"/>
    <w:rsid w:val="00A40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234813">
      <w:bodyDiv w:val="1"/>
      <w:marLeft w:val="0"/>
      <w:marRight w:val="0"/>
      <w:marTop w:val="0"/>
      <w:marBottom w:val="0"/>
      <w:divBdr>
        <w:top w:val="none" w:sz="0" w:space="0" w:color="auto"/>
        <w:left w:val="none" w:sz="0" w:space="0" w:color="auto"/>
        <w:bottom w:val="none" w:sz="0" w:space="0" w:color="auto"/>
        <w:right w:val="none" w:sz="0" w:space="0" w:color="auto"/>
      </w:divBdr>
      <w:divsChild>
        <w:div w:id="1934318515">
          <w:marLeft w:val="0"/>
          <w:marRight w:val="0"/>
          <w:marTop w:val="0"/>
          <w:marBottom w:val="0"/>
          <w:divBdr>
            <w:top w:val="none" w:sz="0" w:space="0" w:color="auto"/>
            <w:left w:val="none" w:sz="0" w:space="0" w:color="auto"/>
            <w:bottom w:val="none" w:sz="0" w:space="0" w:color="auto"/>
            <w:right w:val="none" w:sz="0" w:space="0" w:color="auto"/>
          </w:divBdr>
        </w:div>
      </w:divsChild>
    </w:div>
    <w:div w:id="376703587">
      <w:bodyDiv w:val="1"/>
      <w:marLeft w:val="0"/>
      <w:marRight w:val="0"/>
      <w:marTop w:val="0"/>
      <w:marBottom w:val="0"/>
      <w:divBdr>
        <w:top w:val="none" w:sz="0" w:space="0" w:color="auto"/>
        <w:left w:val="none" w:sz="0" w:space="0" w:color="auto"/>
        <w:bottom w:val="none" w:sz="0" w:space="0" w:color="auto"/>
        <w:right w:val="none" w:sz="0" w:space="0" w:color="auto"/>
      </w:divBdr>
    </w:div>
    <w:div w:id="512689596">
      <w:bodyDiv w:val="1"/>
      <w:marLeft w:val="0"/>
      <w:marRight w:val="0"/>
      <w:marTop w:val="0"/>
      <w:marBottom w:val="0"/>
      <w:divBdr>
        <w:top w:val="none" w:sz="0" w:space="0" w:color="auto"/>
        <w:left w:val="none" w:sz="0" w:space="0" w:color="auto"/>
        <w:bottom w:val="none" w:sz="0" w:space="0" w:color="auto"/>
        <w:right w:val="none" w:sz="0" w:space="0" w:color="auto"/>
      </w:divBdr>
    </w:div>
    <w:div w:id="742872725">
      <w:bodyDiv w:val="1"/>
      <w:marLeft w:val="0"/>
      <w:marRight w:val="0"/>
      <w:marTop w:val="0"/>
      <w:marBottom w:val="0"/>
      <w:divBdr>
        <w:top w:val="none" w:sz="0" w:space="0" w:color="auto"/>
        <w:left w:val="none" w:sz="0" w:space="0" w:color="auto"/>
        <w:bottom w:val="none" w:sz="0" w:space="0" w:color="auto"/>
        <w:right w:val="none" w:sz="0" w:space="0" w:color="auto"/>
      </w:divBdr>
    </w:div>
    <w:div w:id="754979697">
      <w:bodyDiv w:val="1"/>
      <w:marLeft w:val="0"/>
      <w:marRight w:val="0"/>
      <w:marTop w:val="0"/>
      <w:marBottom w:val="0"/>
      <w:divBdr>
        <w:top w:val="none" w:sz="0" w:space="0" w:color="auto"/>
        <w:left w:val="none" w:sz="0" w:space="0" w:color="auto"/>
        <w:bottom w:val="none" w:sz="0" w:space="0" w:color="auto"/>
        <w:right w:val="none" w:sz="0" w:space="0" w:color="auto"/>
      </w:divBdr>
    </w:div>
    <w:div w:id="782041621">
      <w:bodyDiv w:val="1"/>
      <w:marLeft w:val="0"/>
      <w:marRight w:val="0"/>
      <w:marTop w:val="0"/>
      <w:marBottom w:val="0"/>
      <w:divBdr>
        <w:top w:val="none" w:sz="0" w:space="0" w:color="auto"/>
        <w:left w:val="none" w:sz="0" w:space="0" w:color="auto"/>
        <w:bottom w:val="none" w:sz="0" w:space="0" w:color="auto"/>
        <w:right w:val="none" w:sz="0" w:space="0" w:color="auto"/>
      </w:divBdr>
    </w:div>
    <w:div w:id="834417021">
      <w:bodyDiv w:val="1"/>
      <w:marLeft w:val="0"/>
      <w:marRight w:val="0"/>
      <w:marTop w:val="0"/>
      <w:marBottom w:val="0"/>
      <w:divBdr>
        <w:top w:val="none" w:sz="0" w:space="0" w:color="auto"/>
        <w:left w:val="none" w:sz="0" w:space="0" w:color="auto"/>
        <w:bottom w:val="none" w:sz="0" w:space="0" w:color="auto"/>
        <w:right w:val="none" w:sz="0" w:space="0" w:color="auto"/>
      </w:divBdr>
      <w:divsChild>
        <w:div w:id="1380130102">
          <w:marLeft w:val="0"/>
          <w:marRight w:val="0"/>
          <w:marTop w:val="0"/>
          <w:marBottom w:val="0"/>
          <w:divBdr>
            <w:top w:val="none" w:sz="0" w:space="0" w:color="auto"/>
            <w:left w:val="none" w:sz="0" w:space="0" w:color="auto"/>
            <w:bottom w:val="none" w:sz="0" w:space="0" w:color="auto"/>
            <w:right w:val="none" w:sz="0" w:space="0" w:color="auto"/>
          </w:divBdr>
          <w:divsChild>
            <w:div w:id="2069571822">
              <w:marLeft w:val="0"/>
              <w:marRight w:val="0"/>
              <w:marTop w:val="0"/>
              <w:marBottom w:val="0"/>
              <w:divBdr>
                <w:top w:val="none" w:sz="0" w:space="0" w:color="auto"/>
                <w:left w:val="none" w:sz="0" w:space="0" w:color="auto"/>
                <w:bottom w:val="none" w:sz="0" w:space="0" w:color="auto"/>
                <w:right w:val="none" w:sz="0" w:space="0" w:color="auto"/>
              </w:divBdr>
              <w:divsChild>
                <w:div w:id="890111890">
                  <w:marLeft w:val="0"/>
                  <w:marRight w:val="0"/>
                  <w:marTop w:val="100"/>
                  <w:marBottom w:val="100"/>
                  <w:divBdr>
                    <w:top w:val="none" w:sz="0" w:space="0" w:color="auto"/>
                    <w:left w:val="none" w:sz="0" w:space="0" w:color="auto"/>
                    <w:bottom w:val="none" w:sz="0" w:space="0" w:color="auto"/>
                    <w:right w:val="none" w:sz="0" w:space="0" w:color="auto"/>
                  </w:divBdr>
                  <w:divsChild>
                    <w:div w:id="39717053">
                      <w:marLeft w:val="0"/>
                      <w:marRight w:val="0"/>
                      <w:marTop w:val="0"/>
                      <w:marBottom w:val="0"/>
                      <w:divBdr>
                        <w:top w:val="single" w:sz="6" w:space="2" w:color="E6E7E8"/>
                        <w:left w:val="single" w:sz="6" w:space="2" w:color="E6E7E8"/>
                        <w:bottom w:val="single" w:sz="6" w:space="2" w:color="E6E7E8"/>
                        <w:right w:val="single" w:sz="6" w:space="2" w:color="E6E7E8"/>
                      </w:divBdr>
                    </w:div>
                  </w:divsChild>
                </w:div>
              </w:divsChild>
            </w:div>
          </w:divsChild>
        </w:div>
      </w:divsChild>
    </w:div>
    <w:div w:id="851533531">
      <w:bodyDiv w:val="1"/>
      <w:marLeft w:val="0"/>
      <w:marRight w:val="0"/>
      <w:marTop w:val="0"/>
      <w:marBottom w:val="0"/>
      <w:divBdr>
        <w:top w:val="none" w:sz="0" w:space="0" w:color="auto"/>
        <w:left w:val="none" w:sz="0" w:space="0" w:color="auto"/>
        <w:bottom w:val="none" w:sz="0" w:space="0" w:color="auto"/>
        <w:right w:val="none" w:sz="0" w:space="0" w:color="auto"/>
      </w:divBdr>
      <w:divsChild>
        <w:div w:id="202060384">
          <w:marLeft w:val="0"/>
          <w:marRight w:val="0"/>
          <w:marTop w:val="0"/>
          <w:marBottom w:val="0"/>
          <w:divBdr>
            <w:top w:val="none" w:sz="0" w:space="0" w:color="auto"/>
            <w:left w:val="none" w:sz="0" w:space="0" w:color="auto"/>
            <w:bottom w:val="none" w:sz="0" w:space="0" w:color="auto"/>
            <w:right w:val="none" w:sz="0" w:space="0" w:color="auto"/>
          </w:divBdr>
          <w:divsChild>
            <w:div w:id="37248043">
              <w:marLeft w:val="0"/>
              <w:marRight w:val="0"/>
              <w:marTop w:val="0"/>
              <w:marBottom w:val="0"/>
              <w:divBdr>
                <w:top w:val="none" w:sz="0" w:space="0" w:color="auto"/>
                <w:left w:val="none" w:sz="0" w:space="0" w:color="auto"/>
                <w:bottom w:val="none" w:sz="0" w:space="0" w:color="auto"/>
                <w:right w:val="none" w:sz="0" w:space="0" w:color="auto"/>
              </w:divBdr>
              <w:divsChild>
                <w:div w:id="1033309305">
                  <w:marLeft w:val="0"/>
                  <w:marRight w:val="0"/>
                  <w:marTop w:val="100"/>
                  <w:marBottom w:val="100"/>
                  <w:divBdr>
                    <w:top w:val="none" w:sz="0" w:space="0" w:color="auto"/>
                    <w:left w:val="none" w:sz="0" w:space="0" w:color="auto"/>
                    <w:bottom w:val="none" w:sz="0" w:space="0" w:color="auto"/>
                    <w:right w:val="none" w:sz="0" w:space="0" w:color="auto"/>
                  </w:divBdr>
                  <w:divsChild>
                    <w:div w:id="2036732457">
                      <w:marLeft w:val="0"/>
                      <w:marRight w:val="0"/>
                      <w:marTop w:val="0"/>
                      <w:marBottom w:val="0"/>
                      <w:divBdr>
                        <w:top w:val="single" w:sz="6" w:space="2" w:color="E6E7E8"/>
                        <w:left w:val="single" w:sz="6" w:space="2" w:color="E6E7E8"/>
                        <w:bottom w:val="single" w:sz="6" w:space="2" w:color="E6E7E8"/>
                        <w:right w:val="single" w:sz="6" w:space="2" w:color="E6E7E8"/>
                      </w:divBdr>
                    </w:div>
                  </w:divsChild>
                </w:div>
              </w:divsChild>
            </w:div>
          </w:divsChild>
        </w:div>
      </w:divsChild>
    </w:div>
    <w:div w:id="873158099">
      <w:bodyDiv w:val="1"/>
      <w:marLeft w:val="0"/>
      <w:marRight w:val="0"/>
      <w:marTop w:val="0"/>
      <w:marBottom w:val="0"/>
      <w:divBdr>
        <w:top w:val="none" w:sz="0" w:space="0" w:color="auto"/>
        <w:left w:val="none" w:sz="0" w:space="0" w:color="auto"/>
        <w:bottom w:val="none" w:sz="0" w:space="0" w:color="auto"/>
        <w:right w:val="none" w:sz="0" w:space="0" w:color="auto"/>
      </w:divBdr>
    </w:div>
    <w:div w:id="1100570329">
      <w:bodyDiv w:val="1"/>
      <w:marLeft w:val="0"/>
      <w:marRight w:val="0"/>
      <w:marTop w:val="0"/>
      <w:marBottom w:val="0"/>
      <w:divBdr>
        <w:top w:val="none" w:sz="0" w:space="0" w:color="auto"/>
        <w:left w:val="none" w:sz="0" w:space="0" w:color="auto"/>
        <w:bottom w:val="none" w:sz="0" w:space="0" w:color="auto"/>
        <w:right w:val="none" w:sz="0" w:space="0" w:color="auto"/>
      </w:divBdr>
    </w:div>
    <w:div w:id="1195651009">
      <w:bodyDiv w:val="1"/>
      <w:marLeft w:val="0"/>
      <w:marRight w:val="0"/>
      <w:marTop w:val="0"/>
      <w:marBottom w:val="0"/>
      <w:divBdr>
        <w:top w:val="none" w:sz="0" w:space="0" w:color="auto"/>
        <w:left w:val="none" w:sz="0" w:space="0" w:color="auto"/>
        <w:bottom w:val="none" w:sz="0" w:space="0" w:color="auto"/>
        <w:right w:val="none" w:sz="0" w:space="0" w:color="auto"/>
      </w:divBdr>
    </w:div>
    <w:div w:id="1587763105">
      <w:bodyDiv w:val="1"/>
      <w:marLeft w:val="0"/>
      <w:marRight w:val="0"/>
      <w:marTop w:val="0"/>
      <w:marBottom w:val="0"/>
      <w:divBdr>
        <w:top w:val="none" w:sz="0" w:space="0" w:color="auto"/>
        <w:left w:val="none" w:sz="0" w:space="0" w:color="auto"/>
        <w:bottom w:val="none" w:sz="0" w:space="0" w:color="auto"/>
        <w:right w:val="none" w:sz="0" w:space="0" w:color="auto"/>
      </w:divBdr>
    </w:div>
    <w:div w:id="1684823505">
      <w:bodyDiv w:val="1"/>
      <w:marLeft w:val="0"/>
      <w:marRight w:val="0"/>
      <w:marTop w:val="0"/>
      <w:marBottom w:val="0"/>
      <w:divBdr>
        <w:top w:val="none" w:sz="0" w:space="0" w:color="auto"/>
        <w:left w:val="none" w:sz="0" w:space="0" w:color="auto"/>
        <w:bottom w:val="none" w:sz="0" w:space="0" w:color="auto"/>
        <w:right w:val="none" w:sz="0" w:space="0" w:color="auto"/>
      </w:divBdr>
    </w:div>
    <w:div w:id="1722627701">
      <w:bodyDiv w:val="1"/>
      <w:marLeft w:val="0"/>
      <w:marRight w:val="0"/>
      <w:marTop w:val="0"/>
      <w:marBottom w:val="0"/>
      <w:divBdr>
        <w:top w:val="none" w:sz="0" w:space="0" w:color="auto"/>
        <w:left w:val="none" w:sz="0" w:space="0" w:color="auto"/>
        <w:bottom w:val="none" w:sz="0" w:space="0" w:color="auto"/>
        <w:right w:val="none" w:sz="0" w:space="0" w:color="auto"/>
      </w:divBdr>
    </w:div>
    <w:div w:id="1726832809">
      <w:bodyDiv w:val="1"/>
      <w:marLeft w:val="0"/>
      <w:marRight w:val="0"/>
      <w:marTop w:val="0"/>
      <w:marBottom w:val="0"/>
      <w:divBdr>
        <w:top w:val="none" w:sz="0" w:space="0" w:color="auto"/>
        <w:left w:val="none" w:sz="0" w:space="0" w:color="auto"/>
        <w:bottom w:val="none" w:sz="0" w:space="0" w:color="auto"/>
        <w:right w:val="none" w:sz="0" w:space="0" w:color="auto"/>
      </w:divBdr>
    </w:div>
    <w:div w:id="1775397654">
      <w:bodyDiv w:val="1"/>
      <w:marLeft w:val="0"/>
      <w:marRight w:val="0"/>
      <w:marTop w:val="0"/>
      <w:marBottom w:val="0"/>
      <w:divBdr>
        <w:top w:val="none" w:sz="0" w:space="0" w:color="auto"/>
        <w:left w:val="none" w:sz="0" w:space="0" w:color="auto"/>
        <w:bottom w:val="none" w:sz="0" w:space="0" w:color="auto"/>
        <w:right w:val="none" w:sz="0" w:space="0" w:color="auto"/>
      </w:divBdr>
    </w:div>
    <w:div w:id="1926256722">
      <w:bodyDiv w:val="1"/>
      <w:marLeft w:val="0"/>
      <w:marRight w:val="0"/>
      <w:marTop w:val="0"/>
      <w:marBottom w:val="0"/>
      <w:divBdr>
        <w:top w:val="none" w:sz="0" w:space="0" w:color="auto"/>
        <w:left w:val="none" w:sz="0" w:space="0" w:color="auto"/>
        <w:bottom w:val="none" w:sz="0" w:space="0" w:color="auto"/>
        <w:right w:val="none" w:sz="0" w:space="0" w:color="auto"/>
      </w:divBdr>
      <w:divsChild>
        <w:div w:id="1638804274">
          <w:marLeft w:val="0"/>
          <w:marRight w:val="0"/>
          <w:marTop w:val="0"/>
          <w:marBottom w:val="0"/>
          <w:divBdr>
            <w:top w:val="none" w:sz="0" w:space="0" w:color="auto"/>
            <w:left w:val="none" w:sz="0" w:space="0" w:color="auto"/>
            <w:bottom w:val="none" w:sz="0" w:space="0" w:color="auto"/>
            <w:right w:val="none" w:sz="0" w:space="0" w:color="auto"/>
          </w:divBdr>
          <w:divsChild>
            <w:div w:id="214316355">
              <w:marLeft w:val="0"/>
              <w:marRight w:val="0"/>
              <w:marTop w:val="0"/>
              <w:marBottom w:val="0"/>
              <w:divBdr>
                <w:top w:val="none" w:sz="0" w:space="0" w:color="auto"/>
                <w:left w:val="none" w:sz="0" w:space="0" w:color="auto"/>
                <w:bottom w:val="none" w:sz="0" w:space="0" w:color="auto"/>
                <w:right w:val="none" w:sz="0" w:space="0" w:color="auto"/>
              </w:divBdr>
              <w:divsChild>
                <w:div w:id="302658897">
                  <w:marLeft w:val="0"/>
                  <w:marRight w:val="0"/>
                  <w:marTop w:val="0"/>
                  <w:marBottom w:val="0"/>
                  <w:divBdr>
                    <w:top w:val="none" w:sz="0" w:space="0" w:color="auto"/>
                    <w:left w:val="none" w:sz="0" w:space="0" w:color="auto"/>
                    <w:bottom w:val="none" w:sz="0" w:space="0" w:color="auto"/>
                    <w:right w:val="none" w:sz="0" w:space="0" w:color="auto"/>
                  </w:divBdr>
                  <w:divsChild>
                    <w:div w:id="290792794">
                      <w:marLeft w:val="0"/>
                      <w:marRight w:val="0"/>
                      <w:marTop w:val="0"/>
                      <w:marBottom w:val="0"/>
                      <w:divBdr>
                        <w:top w:val="none" w:sz="0" w:space="0" w:color="auto"/>
                        <w:left w:val="none" w:sz="0" w:space="0" w:color="auto"/>
                        <w:bottom w:val="none" w:sz="0" w:space="0" w:color="auto"/>
                        <w:right w:val="none" w:sz="0" w:space="0" w:color="auto"/>
                      </w:divBdr>
                      <w:divsChild>
                        <w:div w:id="674920453">
                          <w:marLeft w:val="0"/>
                          <w:marRight w:val="0"/>
                          <w:marTop w:val="0"/>
                          <w:marBottom w:val="0"/>
                          <w:divBdr>
                            <w:top w:val="none" w:sz="0" w:space="0" w:color="auto"/>
                            <w:left w:val="none" w:sz="0" w:space="0" w:color="auto"/>
                            <w:bottom w:val="none" w:sz="0" w:space="0" w:color="auto"/>
                            <w:right w:val="none" w:sz="0" w:space="0" w:color="auto"/>
                          </w:divBdr>
                          <w:divsChild>
                            <w:div w:id="480000876">
                              <w:marLeft w:val="0"/>
                              <w:marRight w:val="0"/>
                              <w:marTop w:val="0"/>
                              <w:marBottom w:val="0"/>
                              <w:divBdr>
                                <w:top w:val="none" w:sz="0" w:space="0" w:color="auto"/>
                                <w:left w:val="none" w:sz="0" w:space="0" w:color="auto"/>
                                <w:bottom w:val="none" w:sz="0" w:space="0" w:color="auto"/>
                                <w:right w:val="none" w:sz="0" w:space="0" w:color="auto"/>
                              </w:divBdr>
                              <w:divsChild>
                                <w:div w:id="8412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9.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worksafe.act.gov.au/" TargetMode="External"/><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image" Target="media/image10.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legislation.act.gov.au/ni/2020-681/" TargetMode="External"/><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legislation.act.gov.au/ni/2021-606/" TargetMode="External"/><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slation.act.gov.au/ni/2020-680/" TargetMode="External"/><Relationship Id="rId22" Type="http://schemas.openxmlformats.org/officeDocument/2006/relationships/header" Target="header3.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emf"/></Relationships>
</file>

<file path=word/_rels/footnotes.xml.rels><?xml version="1.0" encoding="UTF-8" standalone="yes"?>
<Relationships xmlns="http://schemas.openxmlformats.org/package/2006/relationships"><Relationship Id="rId8" Type="http://schemas.openxmlformats.org/officeDocument/2006/relationships/hyperlink" Target="https://www.safeworkaustralia.gov.au/system/files/documents/1912/work-related_musculoskeletal_disorders_in_australia_0.pdf" TargetMode="External"/><Relationship Id="rId13" Type="http://schemas.openxmlformats.org/officeDocument/2006/relationships/hyperlink" Target="https://quickstats.censusdata.abs.gov.au/census_services/getproduct/census/2016/quickstat/8?opendocument" TargetMode="External"/><Relationship Id="rId18" Type="http://schemas.openxmlformats.org/officeDocument/2006/relationships/hyperlink" Target="https://www.safeworkaustralia.gov.au/system/files/documents/1702/statistics_on_work-related_musculoskeletal_disorders.pdf" TargetMode="External"/><Relationship Id="rId3" Type="http://schemas.openxmlformats.org/officeDocument/2006/relationships/hyperlink" Target="https://www.safeworkaustralia.gov.au/system/files/documents/1912/work-related_musculoskeletal_disorders_in_australia_0.pdf" TargetMode="External"/><Relationship Id="rId7" Type="http://schemas.openxmlformats.org/officeDocument/2006/relationships/hyperlink" Target="https://www.safeworkaustralia.gov.au/system/files/documents/1912/work-related_musculoskeletal_disorders_in_australia_0.pdf" TargetMode="External"/><Relationship Id="rId12" Type="http://schemas.openxmlformats.org/officeDocument/2006/relationships/hyperlink" Target="https://www.safeworkaustralia.gov.au/system/files/documents/1912/work-related_musculoskeletal_disorders_in_australia_0.pdf" TargetMode="External"/><Relationship Id="rId17" Type="http://schemas.openxmlformats.org/officeDocument/2006/relationships/hyperlink" Target="https://www.abs.gov.au/statistics/labour/employment-and-unemployment/labour-force-australia-detailed/jan-2022/6291005.xlsx" TargetMode="External"/><Relationship Id="rId2" Type="http://schemas.openxmlformats.org/officeDocument/2006/relationships/hyperlink" Target="https://www.safeworkaustralia.gov.au/system/files/documents/1912/work-related_musculoskeletal_disorders_in_australia_0.pdf" TargetMode="External"/><Relationship Id="rId16" Type="http://schemas.openxmlformats.org/officeDocument/2006/relationships/hyperlink" Target="https://www.safeworkaustralia.gov.au/system/files/documents/1912/work-related_musculoskeletal_disorders_in_australia_0.pdf" TargetMode="External"/><Relationship Id="rId1" Type="http://schemas.openxmlformats.org/officeDocument/2006/relationships/hyperlink" Target="https://www.safeworkaustralia.gov.au/system/files/documents/1912/work-related_musculoskeletal_disorders_in_australia_0.pdf" TargetMode="External"/><Relationship Id="rId6" Type="http://schemas.openxmlformats.org/officeDocument/2006/relationships/hyperlink" Target="https://www.safeworkaustralia.gov.au/system/files/documents/1702/statistics_on_work-related_musculoskeletal_disorders.pdf" TargetMode="External"/><Relationship Id="rId11" Type="http://schemas.openxmlformats.org/officeDocument/2006/relationships/hyperlink" Target="https://www.directory.act.gov.au/ccexternal_5.1/webdir/cgi-bin/webdua.cgi?ea2_.&amp;organizationalUnit&amp;ou%3DWORKPLACE%20SAFETY%20AND%20INDUSTRIAL%20RELATIONS%2Cou%3DWORKFORCE%20CAPABILITY%20AND%20GOVERNANCE%2Cou%3DCHIEF%20MINISTER%2Cou%3DCHIEF%20MINISTER%5C%2C%20TREASURY%20AND%20ECONOMIC%20DEVELOPMENT%20DIRECTORATE%20-%20CMTEDD%2Cou%3DACT%20GOVERNMENT%20DIRECTORATES%2Co%3DAustralian%20Capital%20Territory%2Cc%3DAU" TargetMode="External"/><Relationship Id="rId5" Type="http://schemas.openxmlformats.org/officeDocument/2006/relationships/hyperlink" Target="https://www.safeworkaustralia.gov.au/system/files/documents/2002/explanatory-notes-nds-for-compensation-based-statistics-swa_0.pdf" TargetMode="External"/><Relationship Id="rId15" Type="http://schemas.openxmlformats.org/officeDocument/2006/relationships/hyperlink" Target="https://www.safeworkaustralia.gov.au/system/files/documents/1702/statistics_on_work-related_musculoskeletal_disorders.pdf" TargetMode="External"/><Relationship Id="rId10" Type="http://schemas.openxmlformats.org/officeDocument/2006/relationships/hyperlink" Target="https://www.safeworkaustralia.gov.au/system/files/documents/1702/statistics_on_work-related_musculoskeletal_disorders.pdf" TargetMode="External"/><Relationship Id="rId4" Type="http://schemas.openxmlformats.org/officeDocument/2006/relationships/hyperlink" Target="https://www.safeworkaustralia.gov.au/sites/default/files/2021-10/Key%20work%20health%20and%20safety%20statistics%20Australia%202021.pdf" TargetMode="External"/><Relationship Id="rId9" Type="http://schemas.openxmlformats.org/officeDocument/2006/relationships/hyperlink" Target="https://www.abs.gov.au/statistics/classifications/anzsco-australian-and-new-zealand-standard-classification-occupations/2021" TargetMode="External"/><Relationship Id="rId14" Type="http://schemas.openxmlformats.org/officeDocument/2006/relationships/hyperlink" Target="https://www.abs.gov.au/statistics/classifications/anzsco-australian-and-new-zealand-standard-classification-occupations/202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cid:image001.png@01D82F12.D81792D0" TargetMode="External"/><Relationship Id="rId1" Type="http://schemas.openxmlformats.org/officeDocument/2006/relationships/image" Target="media/image4.gif"/><Relationship Id="rId4" Type="http://schemas.openxmlformats.org/officeDocument/2006/relationships/image" Target="media/image6.emf"/></Relationships>
</file>

<file path=word/_rels/header3.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14.emf"/><Relationship Id="rId1" Type="http://schemas.openxmlformats.org/officeDocument/2006/relationships/image" Target="media/image5.emf"/></Relationships>
</file>

<file path=word/_rels/header4.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14.emf"/><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20hosie\Objects\WorkSafeACT%20Report%20Template%20-%20with%20Photo_01%20copy%20(A26011948).dotx"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231F20"/>
      </a:dk2>
      <a:lt2>
        <a:srgbClr val="D1D3D3"/>
      </a:lt2>
      <a:accent1>
        <a:srgbClr val="00A841"/>
      </a:accent1>
      <a:accent2>
        <a:srgbClr val="7ECBE8"/>
      </a:accent2>
      <a:accent3>
        <a:srgbClr val="64696F"/>
      </a:accent3>
      <a:accent4>
        <a:srgbClr val="B2835B"/>
      </a:accent4>
      <a:accent5>
        <a:srgbClr val="E2680E"/>
      </a:accent5>
      <a:accent6>
        <a:srgbClr val="00A841"/>
      </a:accent6>
      <a:hlink>
        <a:srgbClr val="FFFFFF"/>
      </a:hlink>
      <a:folHlink>
        <a:srgbClr val="FFFF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CD8F3-61CA-404B-8803-89F84C9E6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WorkSafeACT Report Template - with Photo_01 copy (A26011948)</Template>
  <TotalTime>20</TotalTime>
  <Pages>9</Pages>
  <Words>1799</Words>
  <Characters>10258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Hosie, Donna</dc:creator>
  <cp:keywords/>
  <dc:description/>
  <cp:lastModifiedBy>Liz Sweeney</cp:lastModifiedBy>
  <cp:revision>3</cp:revision>
  <dcterms:created xsi:type="dcterms:W3CDTF">2022-04-21T10:07:00Z</dcterms:created>
  <dcterms:modified xsi:type="dcterms:W3CDTF">2022-04-28T07:25:00Z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A26011948</vt:lpwstr>
  </property>
  <property fmtid="{D5CDD505-2E9C-101B-9397-08002B2CF9AE}" pid="4" name="Objective-Title">
    <vt:lpwstr>WorkSafeACT Report Template - with Photo_01 copy</vt:lpwstr>
  </property>
  <property fmtid="{D5CDD505-2E9C-101B-9397-08002B2CF9AE}" pid="5" name="Objective-Comment">
    <vt:lpwstr/>
  </property>
  <property fmtid="{D5CDD505-2E9C-101B-9397-08002B2CF9AE}" pid="6" name="Objective-CreationStamp">
    <vt:filetime>2020-07-12T23:19:34Z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2020-11-05T05:34:59Z</vt:filetime>
  </property>
  <property fmtid="{D5CDD505-2E9C-101B-9397-08002B2CF9AE}" pid="10" name="Objective-ModificationStamp">
    <vt:filetime>2020-11-05T05:34:59Z</vt:filetime>
  </property>
  <property fmtid="{D5CDD505-2E9C-101B-9397-08002B2CF9AE}" pid="11" name="Objective-Owner">
    <vt:lpwstr>Lesley Blackman</vt:lpwstr>
  </property>
  <property fmtid="{D5CDD505-2E9C-101B-9397-08002B2CF9AE}" pid="12" name="Objective-Path">
    <vt:lpwstr>Whole of ACT Government:AC - Access Canberra - OLD:DIVISION - Workplace Protection:BRANCH - Worksafe:Office Templates - WorkSafe ACT 2020 &gt;:</vt:lpwstr>
  </property>
  <property fmtid="{D5CDD505-2E9C-101B-9397-08002B2CF9AE}" pid="13" name="Objective-Parent">
    <vt:lpwstr>Office Templates - WorkSafe ACT 2020 &gt;</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ACCESS CANBERRA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ACCESS CANBERRA</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ies>
</file>